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XYCG【2025】036</w:t>
      </w:r>
      <w:r>
        <w:rPr>
          <w:rFonts w:hint="eastAsia"/>
          <w:b/>
          <w:color w:val="auto"/>
          <w:sz w:val="32"/>
          <w:szCs w:val="32"/>
          <w:highlight w:val="none"/>
        </w:rPr>
        <w:t>号</w:t>
      </w:r>
    </w:p>
    <w:p>
      <w:pPr>
        <w:rPr>
          <w:rFonts w:hint="eastAsia" w:ascii="宋体"/>
          <w:b/>
          <w:color w:val="auto"/>
          <w:sz w:val="36"/>
          <w:szCs w:val="36"/>
          <w:highlight w:val="none"/>
        </w:rPr>
      </w:pPr>
    </w:p>
    <w:p>
      <w:pPr>
        <w:pStyle w:val="2"/>
        <w:spacing w:line="360" w:lineRule="auto"/>
        <w:jc w:val="center"/>
        <w:rPr>
          <w:rFonts w:hint="default"/>
          <w:color w:val="auto"/>
          <w:sz w:val="44"/>
          <w:szCs w:val="44"/>
          <w:highlight w:val="none"/>
          <w:lang w:val="en-US"/>
        </w:rPr>
      </w:pPr>
      <w:bookmarkStart w:id="0" w:name="OLE_LINK19"/>
      <w:r>
        <w:rPr>
          <w:rFonts w:hint="eastAsia" w:ascii="宋体" w:hAnsi="宋体" w:cs="宋体"/>
          <w:b/>
          <w:bCs/>
          <w:color w:val="auto"/>
          <w:sz w:val="44"/>
          <w:szCs w:val="44"/>
          <w:lang w:val="en-US" w:eastAsia="zh-CN"/>
        </w:rPr>
        <w:t>2021年</w:t>
      </w:r>
      <w:bookmarkStart w:id="1" w:name="OLE_LINK9"/>
      <w:r>
        <w:rPr>
          <w:rFonts w:hint="eastAsia" w:ascii="宋体" w:hAnsi="宋体" w:cs="宋体"/>
          <w:b/>
          <w:bCs/>
          <w:color w:val="auto"/>
          <w:sz w:val="44"/>
          <w:szCs w:val="44"/>
          <w:lang w:val="en-US" w:eastAsia="zh-CN"/>
        </w:rPr>
        <w:t>泸州市江阳区城镇污水处理设施提质增效项目</w:t>
      </w:r>
      <w:bookmarkEnd w:id="1"/>
      <w:r>
        <w:rPr>
          <w:rFonts w:hint="eastAsia" w:ascii="宋体" w:hAnsi="宋体" w:cs="宋体"/>
          <w:b/>
          <w:bCs/>
          <w:color w:val="auto"/>
          <w:sz w:val="44"/>
          <w:szCs w:val="44"/>
          <w:lang w:val="en-US" w:eastAsia="zh-CN"/>
        </w:rPr>
        <w:t>环境影响评价、环境保护竣工验收、入河排污口论证服务采购</w:t>
      </w:r>
    </w:p>
    <w:bookmarkEnd w:id="0"/>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ind w:firstLine="2570" w:firstLineChars="800"/>
        <w:jc w:val="both"/>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val="en-US" w:eastAsia="zh-CN"/>
        </w:rPr>
        <w:t>泸州鑫盛轻工发展有限公司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06</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tabs>
          <w:tab w:val="center" w:pos="4213"/>
          <w:tab w:val="left" w:pos="6092"/>
        </w:tabs>
        <w:spacing w:line="360" w:lineRule="auto"/>
        <w:jc w:val="left"/>
        <w:outlineLvl w:val="0"/>
        <w:rPr>
          <w:rFonts w:hint="eastAsia" w:ascii="黑体" w:hAnsi="黑体" w:eastAsia="黑体"/>
          <w:color w:val="auto"/>
          <w:sz w:val="36"/>
          <w:highlight w:val="none"/>
          <w:lang w:eastAsia="zh-CN"/>
        </w:rPr>
      </w:pPr>
      <w:bookmarkStart w:id="2" w:name="_Hlt101843627"/>
      <w:bookmarkEnd w:id="2"/>
      <w:bookmarkStart w:id="3" w:name="_Hlt101233737"/>
      <w:bookmarkEnd w:id="3"/>
      <w:bookmarkStart w:id="4" w:name="_Toc91771145"/>
      <w:bookmarkStart w:id="5" w:name="_Toc2899"/>
      <w:r>
        <w:rPr>
          <w:rFonts w:hint="eastAsia" w:ascii="黑体" w:hAnsi="黑体" w:eastAsia="黑体"/>
          <w:color w:val="auto"/>
          <w:sz w:val="36"/>
          <w:highlight w:val="none"/>
          <w:lang w:eastAsia="zh-CN"/>
        </w:rPr>
        <w:tab/>
      </w:r>
      <w:bookmarkStart w:id="6" w:name="_Toc29280"/>
      <w:r>
        <w:rPr>
          <w:rFonts w:hint="eastAsia" w:ascii="黑体" w:hAnsi="黑体" w:eastAsia="黑体"/>
          <w:color w:val="auto"/>
          <w:sz w:val="36"/>
          <w:highlight w:val="none"/>
        </w:rPr>
        <w:t>目 录</w:t>
      </w:r>
      <w:bookmarkEnd w:id="4"/>
      <w:bookmarkEnd w:id="5"/>
      <w:bookmarkEnd w:id="6"/>
      <w:r>
        <w:rPr>
          <w:rFonts w:hint="eastAsia" w:ascii="黑体" w:hAnsi="黑体" w:eastAsia="黑体"/>
          <w:color w:val="auto"/>
          <w:sz w:val="36"/>
          <w:highlight w:val="none"/>
          <w:lang w:eastAsia="zh-CN"/>
        </w:rPr>
        <w:tab/>
      </w:r>
    </w:p>
    <w:p>
      <w:pPr>
        <w:pStyle w:val="13"/>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_Toc29280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_Toc29280 \h </w:instrText>
      </w:r>
      <w:r>
        <w:fldChar w:fldCharType="separate"/>
      </w:r>
      <w:r>
        <w:t>2</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_Toc32006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_Toc32006 \h </w:instrText>
      </w:r>
      <w:r>
        <w:fldChar w:fldCharType="separate"/>
      </w:r>
      <w:r>
        <w:t>3</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_Toc16517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_Toc16517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_Toc25064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_Toc25064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_Toc14219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_Toc14219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_Toc20713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_Toc20713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_Toc7918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_Toc7918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_Toc27568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_Toc27568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_Toc4456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_Toc4456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_Toc11002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_Toc11002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_Toc29183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_Toc29183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_Toc1519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_Toc1519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_Toc25236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_Toc25236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_Toc18678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_Toc18678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_Toc4052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_Toc4052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_Toc16480 </w:instrText>
      </w:r>
      <w:r>
        <w:rPr>
          <w:rFonts w:hint="eastAsia" w:ascii="宋体" w:hAnsi="宋体" w:eastAsia="宋体" w:cs="宋体"/>
          <w:kern w:val="2"/>
          <w:szCs w:val="24"/>
          <w:highlight w:val="none"/>
        </w:rPr>
        <w:fldChar w:fldCharType="separate"/>
      </w:r>
      <w:r>
        <w:rPr>
          <w:rFonts w:hint="eastAsia" w:ascii="宋体" w:hAnsi="宋体"/>
          <w:highlight w:val="none"/>
        </w:rPr>
        <w:t>二、技术</w:t>
      </w:r>
      <w:r>
        <w:rPr>
          <w:rFonts w:hint="eastAsia" w:ascii="宋体" w:hAnsi="宋体"/>
          <w:highlight w:val="none"/>
          <w:lang w:val="en-US" w:eastAsia="zh-CN"/>
        </w:rPr>
        <w:t>参数</w:t>
      </w:r>
      <w:r>
        <w:rPr>
          <w:rFonts w:hint="eastAsia" w:ascii="宋体" w:hAnsi="宋体"/>
          <w:highlight w:val="none"/>
        </w:rPr>
        <w:t>要求</w:t>
      </w:r>
      <w:r>
        <w:tab/>
      </w:r>
      <w:r>
        <w:fldChar w:fldCharType="begin"/>
      </w:r>
      <w:r>
        <w:instrText xml:space="preserve"> PAGEREF _Toc16480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_Toc1461 </w:instrText>
      </w:r>
      <w:r>
        <w:rPr>
          <w:rFonts w:hint="eastAsia" w:ascii="宋体" w:hAnsi="宋体" w:eastAsia="宋体" w:cs="宋体"/>
          <w:kern w:val="2"/>
          <w:szCs w:val="24"/>
          <w:highlight w:val="none"/>
        </w:rPr>
        <w:fldChar w:fldCharType="separate"/>
      </w:r>
      <w:r>
        <w:rPr>
          <w:rFonts w:hint="eastAsia" w:ascii="宋体" w:hAnsi="宋体"/>
          <w:highlight w:val="none"/>
        </w:rPr>
        <w:t>三、服务要求</w:t>
      </w:r>
      <w:r>
        <w:tab/>
      </w:r>
      <w:r>
        <w:fldChar w:fldCharType="begin"/>
      </w:r>
      <w:r>
        <w:instrText xml:space="preserve"> PAGEREF _Toc1461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_Toc15732 </w:instrText>
      </w:r>
      <w:r>
        <w:rPr>
          <w:rFonts w:hint="eastAsia" w:ascii="宋体" w:hAnsi="宋体" w:eastAsia="宋体" w:cs="宋体"/>
          <w:kern w:val="2"/>
          <w:szCs w:val="24"/>
          <w:highlight w:val="none"/>
        </w:rPr>
        <w:fldChar w:fldCharType="separate"/>
      </w:r>
      <w:r>
        <w:rPr>
          <w:rFonts w:hint="eastAsia" w:ascii="宋体" w:hAnsi="宋体"/>
          <w:highlight w:val="none"/>
        </w:rPr>
        <w:t>四、商务要求</w:t>
      </w:r>
      <w:r>
        <w:tab/>
      </w:r>
      <w:r>
        <w:fldChar w:fldCharType="begin"/>
      </w:r>
      <w:r>
        <w:instrText xml:space="preserve"> PAGEREF _Toc15732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_Toc6383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_Toc6383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_Toc28811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_Toc28811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_Toc5379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_Toc5379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_Toc10594 </w:instrText>
      </w:r>
      <w:r>
        <w:rPr>
          <w:rFonts w:hint="eastAsia" w:ascii="宋体" w:hAnsi="宋体" w:eastAsia="宋体" w:cs="宋体"/>
          <w:kern w:val="2"/>
          <w:szCs w:val="24"/>
          <w:highlight w:val="none"/>
        </w:rPr>
        <w:fldChar w:fldCharType="separate"/>
      </w:r>
      <w:r>
        <w:rPr>
          <w:rFonts w:hint="eastAsia"/>
          <w:szCs w:val="32"/>
        </w:rPr>
        <w:t xml:space="preserve">三、 </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_Toc10594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_Toc22235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_Toc22235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_Toc19208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_Toc19208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_Toc10674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_Toc10674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_Toc7188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_Toc7188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_Toc6647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八、供应商本项目管理、技术、服务人员情况表</w:t>
      </w:r>
      <w:r>
        <w:tab/>
      </w:r>
      <w:r>
        <w:fldChar w:fldCharType="begin"/>
      </w:r>
      <w:r>
        <w:instrText xml:space="preserve"> PAGEREF _Toc6647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_Toc24739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九、商务、技术、服务要求应答表</w:t>
      </w:r>
      <w:r>
        <w:tab/>
      </w:r>
      <w:r>
        <w:fldChar w:fldCharType="begin"/>
      </w:r>
      <w:r>
        <w:instrText xml:space="preserve"> PAGEREF _Toc24739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_Toc35 </w:instrText>
      </w:r>
      <w:r>
        <w:rPr>
          <w:rFonts w:hint="eastAsia" w:ascii="宋体" w:hAnsi="宋体" w:eastAsia="宋体" w:cs="宋体"/>
          <w:kern w:val="2"/>
          <w:szCs w:val="24"/>
          <w:highlight w:val="none"/>
        </w:rPr>
        <w:fldChar w:fldCharType="separate"/>
      </w:r>
      <w:r>
        <w:rPr>
          <w:rFonts w:ascii="黑体" w:hAnsi="黑体" w:eastAsia="黑体"/>
          <w:highlight w:val="none"/>
        </w:rPr>
        <w:t>第</w:t>
      </w:r>
      <w:r>
        <w:rPr>
          <w:rFonts w:hint="eastAsia" w:ascii="黑体" w:hAnsi="黑体" w:eastAsia="黑体"/>
          <w:highlight w:val="none"/>
          <w:lang w:val="en-US" w:eastAsia="zh-CN"/>
        </w:rPr>
        <w:t>五</w:t>
      </w:r>
      <w:r>
        <w:rPr>
          <w:rFonts w:ascii="黑体" w:hAnsi="黑体" w:eastAsia="黑体"/>
          <w:highlight w:val="none"/>
        </w:rPr>
        <w:t>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_Toc35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_Toc3151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_Toc3151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_Toc3155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_Toc3155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_Toc10073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_Toc10073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_Toc11014 </w:instrText>
      </w:r>
      <w:r>
        <w:rPr>
          <w:rFonts w:hint="eastAsia" w:ascii="宋体" w:hAnsi="宋体" w:eastAsia="宋体" w:cs="宋体"/>
          <w:kern w:val="2"/>
          <w:szCs w:val="24"/>
          <w:highlight w:val="none"/>
        </w:rPr>
        <w:fldChar w:fldCharType="separate"/>
      </w:r>
      <w:r>
        <w:rPr>
          <w:rFonts w:hint="eastAsia" w:ascii="黑体" w:hAnsi="黑体" w:eastAsia="黑体"/>
        </w:rPr>
        <w:t xml:space="preserve">第六章 </w:t>
      </w:r>
      <w:r>
        <w:rPr>
          <w:rFonts w:hint="eastAsia" w:ascii="黑体" w:hAnsi="黑体" w:eastAsia="黑体"/>
          <w:highlight w:val="none"/>
        </w:rPr>
        <w:t>采购合同（草案）</w:t>
      </w:r>
      <w:r>
        <w:tab/>
      </w:r>
      <w:r>
        <w:fldChar w:fldCharType="begin"/>
      </w:r>
      <w:r>
        <w:instrText xml:space="preserve"> PAGEREF _Toc11014 \h </w:instrText>
      </w:r>
      <w:r>
        <w:fldChar w:fldCharType="separate"/>
      </w:r>
      <w:r>
        <w:t>38</w:t>
      </w:r>
      <w:r>
        <w:fldChar w:fldCharType="end"/>
      </w:r>
      <w:r>
        <w:rPr>
          <w:rFonts w:hint="eastAsia" w:ascii="宋体" w:hAnsi="宋体" w:eastAsia="宋体" w:cs="宋体"/>
          <w:color w:val="auto"/>
          <w:kern w:val="2"/>
          <w:szCs w:val="24"/>
          <w:highlight w:val="none"/>
        </w:rPr>
        <w:fldChar w:fldCharType="end"/>
      </w:r>
    </w:p>
    <w:p>
      <w:pPr>
        <w:pStyle w:val="8"/>
        <w:tabs>
          <w:tab w:val="right" w:leader="dot" w:pos="8306"/>
        </w:tabs>
      </w:pPr>
    </w:p>
    <w:p>
      <w:pPr>
        <w:pStyle w:val="24"/>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2"/>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7" w:name="_Toc91771146"/>
      <w:bookmarkStart w:id="8" w:name="_Toc32006"/>
      <w:r>
        <w:rPr>
          <w:rFonts w:hint="eastAsia" w:ascii="黑体" w:hAnsi="黑体" w:eastAsia="黑体"/>
          <w:color w:val="auto"/>
          <w:sz w:val="36"/>
          <w:highlight w:val="none"/>
        </w:rPr>
        <w:t>第一章 询价邀请公告</w:t>
      </w:r>
      <w:bookmarkEnd w:id="7"/>
      <w:bookmarkEnd w:id="8"/>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ascii="宋体" w:hAnsi="宋体" w:cs="宋体"/>
          <w:color w:val="auto"/>
          <w:sz w:val="24"/>
          <w:szCs w:val="24"/>
          <w:u w:val="single"/>
          <w:lang w:val="en-US" w:eastAsia="zh-CN"/>
        </w:rPr>
        <w:t>2021年泸州市江阳区城镇污水处理设施提质增效项目环境影响评价、环境保护竣工验收、入河排污口论证服务采购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XYCG【2025】036</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bookmarkStart w:id="9" w:name="OLE_LINK10"/>
      <w:r>
        <w:rPr>
          <w:rFonts w:hint="eastAsia"/>
          <w:color w:val="auto"/>
          <w:sz w:val="24"/>
          <w:highlight w:val="none"/>
          <w:lang w:val="en-US" w:eastAsia="zh-CN"/>
        </w:rPr>
        <w:t>2021年泸州市江阳区城镇污水处理设施提质增效项目环境影响评价、环境保护竣工验收、入河排污口论证</w:t>
      </w:r>
      <w:bookmarkEnd w:id="9"/>
      <w:r>
        <w:rPr>
          <w:rFonts w:hint="eastAsia"/>
          <w:color w:val="auto"/>
          <w:sz w:val="24"/>
          <w:highlight w:val="none"/>
          <w:lang w:val="en-US" w:eastAsia="zh-CN"/>
        </w:rPr>
        <w:t>服务采购</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泸州鑫盛轻工发展有限公司</w:t>
      </w:r>
      <w:r>
        <w:rPr>
          <w:color w:val="auto"/>
          <w:sz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8"/>
          <w:szCs w:val="28"/>
        </w:rPr>
      </w:pPr>
      <w:r>
        <w:rPr>
          <w:color w:val="auto"/>
          <w:sz w:val="24"/>
          <w:highlight w:val="none"/>
        </w:rPr>
        <w:t>4.服务期限（工期）：</w:t>
      </w:r>
      <w:bookmarkStart w:id="10" w:name="OLE_LINK20"/>
      <w:r>
        <w:rPr>
          <w:rFonts w:hint="eastAsia"/>
          <w:color w:val="auto"/>
          <w:sz w:val="24"/>
          <w:szCs w:val="24"/>
          <w:highlight w:val="none"/>
          <w:lang w:val="en-US" w:eastAsia="zh-CN"/>
        </w:rPr>
        <w:t>合同签订后20个日历日完成入河排污口论证报告（含监测）、环境影响评价报告表（含监测）编制后提交主管部门进行审核并取得相应批复，项目竣工验收后25个日历日完成环境保护竣工验收报告（含监测）编制并提交主管部门进行审核，最终取得相应批复文件。</w:t>
      </w:r>
    </w:p>
    <w:bookmarkEnd w:id="10"/>
    <w:p>
      <w:pPr>
        <w:spacing w:line="360" w:lineRule="auto"/>
        <w:ind w:firstLine="480" w:firstLineChars="200"/>
        <w:rPr>
          <w:color w:val="auto"/>
          <w:sz w:val="24"/>
          <w:highlight w:val="none"/>
        </w:rPr>
      </w:pP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val="0"/>
          <w:bCs w:val="0"/>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w:t>
      </w:r>
      <w:r>
        <w:rPr>
          <w:b w:val="0"/>
          <w:bCs w:val="0"/>
          <w:color w:val="auto"/>
          <w:sz w:val="24"/>
          <w:szCs w:val="24"/>
          <w:highlight w:val="none"/>
        </w:rPr>
        <w:t>最高限价为</w:t>
      </w:r>
      <w:r>
        <w:rPr>
          <w:rFonts w:hint="eastAsia"/>
          <w:b w:val="0"/>
          <w:bCs w:val="0"/>
          <w:color w:val="auto"/>
          <w:sz w:val="24"/>
          <w:szCs w:val="24"/>
          <w:highlight w:val="none"/>
          <w:lang w:val="en-US" w:eastAsia="zh-CN"/>
        </w:rPr>
        <w:t>26万</w:t>
      </w:r>
      <w:r>
        <w:rPr>
          <w:b w:val="0"/>
          <w:bCs w:val="0"/>
          <w:color w:val="auto"/>
          <w:sz w:val="24"/>
          <w:szCs w:val="24"/>
          <w:highlight w:val="none"/>
        </w:rPr>
        <w:t>元。</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r>
        <w:rPr>
          <w:rFonts w:hint="eastAsia" w:ascii="宋体" w:hAnsi="宋体" w:eastAsia="宋体" w:cs="宋体"/>
          <w:color w:val="auto"/>
          <w:sz w:val="24"/>
          <w:szCs w:val="24"/>
          <w:lang w:val="en-US" w:eastAsia="zh-CN"/>
        </w:rPr>
        <w:t>对江阳区15个一、二级场镇</w:t>
      </w:r>
      <w:r>
        <w:rPr>
          <w:rFonts w:hint="eastAsia" w:ascii="宋体" w:hAnsi="宋体" w:cs="宋体"/>
          <w:color w:val="auto"/>
          <w:sz w:val="24"/>
          <w:szCs w:val="24"/>
          <w:lang w:val="en-US" w:eastAsia="zh-CN"/>
        </w:rPr>
        <w:t>场站、</w:t>
      </w:r>
      <w:r>
        <w:rPr>
          <w:rFonts w:hint="eastAsia" w:ascii="宋体" w:hAnsi="宋体" w:eastAsia="宋体" w:cs="宋体"/>
          <w:color w:val="auto"/>
          <w:sz w:val="24"/>
          <w:szCs w:val="24"/>
          <w:lang w:val="en-US" w:eastAsia="zh-CN"/>
        </w:rPr>
        <w:t>雨污水管网进行改造，涉及改造区域面积约20平方公里，预计建设支管60余公里。</w:t>
      </w:r>
    </w:p>
    <w:p>
      <w:pPr>
        <w:spacing w:after="120" w:line="360" w:lineRule="auto"/>
        <w:ind w:firstLine="480" w:firstLineChars="200"/>
        <w:rPr>
          <w:color w:val="auto"/>
          <w:sz w:val="24"/>
          <w:szCs w:val="28"/>
          <w:highlight w:val="none"/>
        </w:rPr>
      </w:pP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7"/>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7"/>
        <w:ind w:firstLine="600" w:firstLineChars="250"/>
        <w:rPr>
          <w:color w:val="auto"/>
          <w:sz w:val="24"/>
          <w:highlight w:val="none"/>
        </w:rPr>
      </w:pPr>
      <w:r>
        <w:rPr>
          <w:color w:val="auto"/>
          <w:sz w:val="24"/>
          <w:highlight w:val="none"/>
        </w:rPr>
        <w:t>6.法律、行政法规规定的其他条件；</w:t>
      </w:r>
    </w:p>
    <w:p>
      <w:pPr>
        <w:spacing w:line="360" w:lineRule="auto"/>
        <w:ind w:left="0" w:leftChars="0" w:firstLine="638" w:firstLineChars="266"/>
        <w:rPr>
          <w:rFonts w:hint="eastAsia" w:eastAsia="宋体"/>
          <w:bCs/>
          <w:color w:val="auto"/>
          <w:sz w:val="24"/>
          <w:highlight w:val="none"/>
          <w:lang w:val="en-US" w:eastAsia="zh-CN"/>
        </w:rPr>
      </w:pPr>
      <w:r>
        <w:rPr>
          <w:bCs/>
          <w:color w:val="auto"/>
          <w:sz w:val="24"/>
          <w:highlight w:val="none"/>
        </w:rPr>
        <w:t>7.采购人根据采购项目提出的特殊条件：</w:t>
      </w:r>
      <w:r>
        <w:rPr>
          <w:rFonts w:hint="eastAsia"/>
          <w:bCs/>
          <w:color w:val="auto"/>
          <w:sz w:val="24"/>
          <w:highlight w:val="none"/>
          <w:lang w:val="en-US" w:eastAsia="zh-CN"/>
        </w:rPr>
        <w:t>无</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w:t>
      </w:r>
      <w:r>
        <w:rPr>
          <w:rFonts w:hint="eastAsia"/>
          <w:color w:val="auto"/>
          <w:sz w:val="24"/>
          <w:highlight w:val="none"/>
        </w:rPr>
        <w:t>或与本项目存在法律纠纷的供应商</w:t>
      </w:r>
      <w:r>
        <w:rPr>
          <w:color w:val="auto"/>
          <w:sz w:val="24"/>
          <w:highlight w:val="none"/>
        </w:rPr>
        <w:t>，禁止报名参加本项目的采购活动（以联合体形式参加本项目采购活动，联合体成员被兴阳集团列入不诚信供应商库的，视同联合体被兴阳集团列入不诚信供应商库）。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 w:val="0"/>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lang w:val="en-US" w:eastAsia="zh-CN"/>
        </w:rPr>
        <w:t>06</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30</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10：0</w:t>
      </w:r>
      <w:r>
        <w:rPr>
          <w:rFonts w:hint="eastAsia" w:ascii="宋体" w:hAnsi="宋体" w:eastAsia="宋体" w:cs="宋体"/>
          <w:bCs/>
          <w:color w:val="auto"/>
          <w:sz w:val="24"/>
          <w:highlight w:val="none"/>
          <w:lang w:val="en-US" w:eastAsia="zh-CN"/>
        </w:rPr>
        <w:t>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2"/>
          <w:rFonts w:hint="eastAsia" w:ascii="宋体" w:hAnsi="宋体" w:eastAsia="宋体" w:cs="宋体"/>
          <w:b/>
          <w:bCs/>
          <w:color w:val="auto"/>
          <w:sz w:val="24"/>
          <w:szCs w:val="24"/>
          <w:highlight w:val="none"/>
          <w:u w:val="none"/>
          <w:lang w:eastAsia="zh-CN"/>
        </w:rPr>
        <w:t>□</w:t>
      </w:r>
      <w:r>
        <w:rPr>
          <w:rStyle w:val="22"/>
          <w:rFonts w:hint="eastAsia" w:ascii="宋体" w:hAnsi="宋体" w:eastAsia="宋体" w:cs="宋体"/>
          <w:bCs/>
          <w:color w:val="auto"/>
          <w:sz w:val="24"/>
          <w:szCs w:val="24"/>
          <w:highlight w:val="none"/>
          <w:u w:val="none"/>
        </w:rPr>
        <w:t>本次采购</w:t>
      </w:r>
      <w:r>
        <w:rPr>
          <w:rStyle w:val="22"/>
          <w:rFonts w:hint="eastAsia" w:ascii="宋体" w:hAnsi="宋体" w:eastAsia="宋体" w:cs="宋体"/>
          <w:bCs/>
          <w:color w:val="auto"/>
          <w:sz w:val="24"/>
          <w:szCs w:val="24"/>
          <w:highlight w:val="none"/>
          <w:u w:val="none"/>
          <w:lang w:val="en-US" w:eastAsia="zh-CN"/>
        </w:rPr>
        <w:t>只</w:t>
      </w:r>
      <w:r>
        <w:rPr>
          <w:rStyle w:val="22"/>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2"/>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2"/>
          <w:rFonts w:hint="eastAsia" w:ascii="宋体" w:hAnsi="宋体" w:eastAsia="宋体" w:cs="宋体"/>
          <w:bCs/>
          <w:color w:val="auto"/>
          <w:sz w:val="24"/>
          <w:szCs w:val="24"/>
          <w:highlight w:val="none"/>
          <w:u w:val="none"/>
        </w:rPr>
        <w:t>电子邮箱</w:t>
      </w:r>
      <w:r>
        <w:rPr>
          <w:rStyle w:val="22"/>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2"/>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bookmarkStart w:id="11" w:name="OLE_LINK2"/>
      <w:r>
        <w:rPr>
          <w:bCs/>
          <w:color w:val="auto"/>
          <w:sz w:val="24"/>
          <w:highlight w:val="none"/>
          <w:u w:val="single"/>
        </w:rPr>
        <w:t>泸州市江阳区张坝桂圆林西门综合楼2</w:t>
      </w:r>
      <w:r>
        <w:rPr>
          <w:rFonts w:hint="eastAsia"/>
          <w:bCs/>
          <w:color w:val="auto"/>
          <w:sz w:val="24"/>
          <w:highlight w:val="none"/>
          <w:u w:val="single"/>
        </w:rPr>
        <w:t>楼</w:t>
      </w:r>
      <w:bookmarkEnd w:id="11"/>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泸州鑫盛轻工发展有限公司</w:t>
      </w:r>
    </w:p>
    <w:p>
      <w:pPr>
        <w:pStyle w:val="27"/>
        <w:ind w:firstLine="480"/>
        <w:rPr>
          <w:color w:val="auto"/>
          <w:kern w:val="0"/>
          <w:sz w:val="24"/>
          <w:highlight w:val="none"/>
        </w:rPr>
      </w:pPr>
      <w:r>
        <w:rPr>
          <w:bCs/>
          <w:color w:val="auto"/>
          <w:sz w:val="24"/>
          <w:highlight w:val="none"/>
        </w:rPr>
        <w:t>通讯地址</w:t>
      </w:r>
      <w:r>
        <w:rPr>
          <w:color w:val="auto"/>
          <w:kern w:val="0"/>
          <w:sz w:val="24"/>
          <w:highlight w:val="none"/>
        </w:rPr>
        <w:t>：</w:t>
      </w:r>
      <w:r>
        <w:rPr>
          <w:bCs/>
          <w:color w:val="auto"/>
          <w:sz w:val="24"/>
          <w:highlight w:val="none"/>
          <w:u w:val="none"/>
        </w:rPr>
        <w:t>泸州市江阳区张坝桂圆林西门综合楼</w:t>
      </w:r>
      <w:r>
        <w:rPr>
          <w:rFonts w:hint="eastAsia"/>
          <w:bCs/>
          <w:color w:val="auto"/>
          <w:sz w:val="24"/>
          <w:highlight w:val="none"/>
          <w:u w:val="none"/>
          <w:lang w:val="en-US" w:eastAsia="zh-CN"/>
        </w:rPr>
        <w:t>1</w:t>
      </w:r>
      <w:r>
        <w:rPr>
          <w:rFonts w:hint="eastAsia"/>
          <w:bCs/>
          <w:color w:val="auto"/>
          <w:sz w:val="24"/>
          <w:highlight w:val="none"/>
          <w:u w:val="none"/>
        </w:rPr>
        <w:t>楼</w:t>
      </w:r>
    </w:p>
    <w:p>
      <w:pPr>
        <w:pStyle w:val="27"/>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袁先生</w:t>
      </w:r>
    </w:p>
    <w:p>
      <w:pPr>
        <w:pStyle w:val="27"/>
        <w:ind w:firstLine="480"/>
        <w:rPr>
          <w:rFonts w:hint="eastAsia" w:ascii="宋体" w:hAnsi="宋体" w:eastAsia="宋体" w:cs="宋体"/>
          <w:color w:val="auto"/>
          <w:sz w:val="24"/>
          <w:highlight w:val="none"/>
        </w:rPr>
      </w:pPr>
      <w:r>
        <w:rPr>
          <w:color w:val="auto"/>
          <w:sz w:val="24"/>
          <w:highlight w:val="none"/>
        </w:rPr>
        <w:t>联系电话</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0830-6522549</w:t>
      </w:r>
      <w:r>
        <w:rPr>
          <w:rFonts w:hint="eastAsia" w:ascii="宋体" w:hAnsi="宋体" w:eastAsia="宋体" w:cs="宋体"/>
          <w:color w:val="auto"/>
          <w:sz w:val="24"/>
          <w:highlight w:val="none"/>
        </w:rPr>
        <w:t xml:space="preserve">          </w:t>
      </w:r>
    </w:p>
    <w:p>
      <w:pPr>
        <w:pStyle w:val="16"/>
        <w:spacing w:before="0" w:beforeAutospacing="0" w:after="0" w:afterAutospacing="0" w:line="360" w:lineRule="auto"/>
        <w:ind w:firstLine="480" w:firstLineChars="200"/>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highlight w:val="none"/>
        </w:rPr>
        <w:t>监督电话：0830-</w:t>
      </w:r>
      <w:bookmarkStart w:id="12" w:name="OLE_LINK4"/>
      <w:r>
        <w:rPr>
          <w:rFonts w:hint="eastAsia" w:ascii="宋体" w:hAnsi="宋体" w:eastAsia="宋体" w:cs="宋体"/>
          <w:color w:val="auto"/>
          <w:sz w:val="24"/>
          <w:highlight w:val="none"/>
          <w:lang w:val="en-US" w:eastAsia="zh-CN"/>
        </w:rPr>
        <w:t>6523011</w:t>
      </w:r>
      <w:bookmarkEnd w:id="12"/>
    </w:p>
    <w:p>
      <w:pPr>
        <w:pStyle w:val="16"/>
        <w:spacing w:before="0" w:beforeAutospacing="0" w:after="0" w:afterAutospacing="0"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pStyle w:val="16"/>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3" w:name="_Toc91771147"/>
      <w:bookmarkStart w:id="14" w:name="_Toc16517"/>
      <w:r>
        <w:rPr>
          <w:rFonts w:hint="eastAsia" w:ascii="黑体" w:hAnsi="黑体" w:eastAsia="黑体"/>
          <w:color w:val="auto"/>
          <w:sz w:val="36"/>
          <w:highlight w:val="none"/>
        </w:rPr>
        <w:t>第二章 询价须知</w:t>
      </w:r>
      <w:bookmarkEnd w:id="13"/>
      <w:bookmarkEnd w:id="14"/>
    </w:p>
    <w:p>
      <w:pPr>
        <w:spacing w:after="240" w:afterLines="100"/>
        <w:jc w:val="center"/>
        <w:outlineLvl w:val="1"/>
        <w:rPr>
          <w:rFonts w:hint="eastAsia" w:ascii="宋体" w:hAnsi="宋体"/>
          <w:b/>
          <w:color w:val="auto"/>
          <w:sz w:val="32"/>
          <w:highlight w:val="none"/>
        </w:rPr>
      </w:pPr>
      <w:bookmarkStart w:id="15" w:name="_Toc25064"/>
      <w:bookmarkStart w:id="16" w:name="_Toc91771148"/>
      <w:r>
        <w:rPr>
          <w:rFonts w:hint="eastAsia" w:ascii="宋体" w:hAnsi="宋体"/>
          <w:b/>
          <w:color w:val="auto"/>
          <w:sz w:val="32"/>
          <w:highlight w:val="none"/>
        </w:rPr>
        <w:t>一、供应商须知前附表</w:t>
      </w:r>
      <w:bookmarkEnd w:id="15"/>
      <w:bookmarkEnd w:id="16"/>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8"/>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8"/>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8"/>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采购预算</w:t>
            </w:r>
          </w:p>
          <w:p>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b/>
                <w:bCs/>
                <w:color w:val="auto"/>
                <w:highlight w:val="none"/>
                <w:lang w:val="en-US" w:eastAsia="zh-CN"/>
              </w:rPr>
              <w:t>26 万</w:t>
            </w:r>
            <w:r>
              <w:rPr>
                <w:rFonts w:hint="eastAsia"/>
                <w:b/>
                <w:bCs/>
                <w:color w:val="auto"/>
                <w:highlight w:val="none"/>
                <w:lang w:val="zh-CN"/>
              </w:rPr>
              <w:t>元</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最高限价</w:t>
            </w:r>
          </w:p>
          <w:p>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b/>
                <w:bCs/>
                <w:color w:val="auto"/>
                <w:highlight w:val="none"/>
                <w:lang w:val="en-US" w:eastAsia="zh-CN"/>
              </w:rPr>
              <w:t>26 万</w:t>
            </w:r>
            <w:r>
              <w:rPr>
                <w:rFonts w:hint="eastAsia"/>
                <w:b/>
                <w:bCs/>
                <w:color w:val="auto"/>
                <w:highlight w:val="none"/>
                <w:lang w:val="zh-CN"/>
              </w:rPr>
              <w:t>元</w:t>
            </w:r>
            <w:r>
              <w:rPr>
                <w:rFonts w:hint="eastAsia"/>
                <w:color w:val="auto"/>
                <w:highlight w:val="none"/>
                <w:lang w:val="zh-CN"/>
              </w:rPr>
              <w:t>；</w:t>
            </w:r>
          </w:p>
          <w:p>
            <w:pPr>
              <w:pStyle w:val="28"/>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w:t>
            </w:r>
            <w:r>
              <w:rPr>
                <w:rFonts w:hint="eastAsia"/>
                <w:color w:val="auto"/>
                <w:highlight w:val="none"/>
                <w:lang w:val="en-US" w:eastAsia="zh-CN"/>
              </w:rPr>
              <w:t>询价文件第三章第二条</w:t>
            </w:r>
            <w:r>
              <w:rPr>
                <w:rFonts w:hint="eastAsia"/>
                <w:color w:val="auto"/>
                <w:highlight w:val="none"/>
              </w:rPr>
              <w:t>采购清单列出的</w:t>
            </w:r>
            <w:r>
              <w:rPr>
                <w:rFonts w:hint="eastAsia"/>
                <w:b/>
                <w:bCs/>
                <w:color w:val="auto"/>
                <w:highlight w:val="none"/>
              </w:rPr>
              <w:t>单价</w:t>
            </w:r>
            <w:r>
              <w:rPr>
                <w:rFonts w:hint="eastAsia"/>
                <w:color w:val="auto"/>
                <w:highlight w:val="none"/>
              </w:rPr>
              <w:t>最高限价，否则报价无效；</w:t>
            </w:r>
          </w:p>
          <w:p>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bookmarkStart w:id="17" w:name="OLE_LINK1"/>
            <w:r>
              <w:rPr>
                <w:rFonts w:hint="eastAsia"/>
                <w:b/>
                <w:bCs/>
                <w:color w:val="auto"/>
                <w:highlight w:val="none"/>
                <w:lang w:eastAsia="zh-CN"/>
              </w:rPr>
              <w:t>☑</w:t>
            </w:r>
            <w:bookmarkEnd w:id="17"/>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8"/>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8"/>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8"/>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8"/>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8"/>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 xml:space="preserve">0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8"/>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8"/>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pPr>
              <w:pStyle w:val="28"/>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61"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8"/>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2000</w:t>
            </w:r>
            <w:r>
              <w:rPr>
                <w:rFonts w:hint="eastAsia"/>
                <w:color w:val="auto"/>
                <w:highlight w:val="none"/>
                <w:lang w:bidi="ar"/>
              </w:rPr>
              <w:t>元（大写</w:t>
            </w:r>
            <w:r>
              <w:rPr>
                <w:rFonts w:hint="eastAsia"/>
                <w:color w:val="auto"/>
                <w:highlight w:val="none"/>
                <w:lang w:eastAsia="zh-CN" w:bidi="ar"/>
              </w:rPr>
              <w:t>：</w:t>
            </w:r>
            <w:r>
              <w:rPr>
                <w:rFonts w:hint="eastAsia"/>
                <w:color w:val="auto"/>
                <w:highlight w:val="none"/>
                <w:lang w:val="en-US" w:eastAsia="zh-CN" w:bidi="ar"/>
              </w:rPr>
              <w:t>贰仟元整</w:t>
            </w:r>
            <w:r>
              <w:rPr>
                <w:rFonts w:hint="eastAsia"/>
                <w:color w:val="auto"/>
                <w:highlight w:val="none"/>
                <w:lang w:bidi="ar"/>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w:t>
            </w:r>
            <w:bookmarkStart w:id="18" w:name="OLE_LINK27"/>
            <w:r>
              <w:rPr>
                <w:rFonts w:hint="eastAsia" w:ascii="宋体" w:hAnsi="宋体" w:cs="宋体"/>
                <w:color w:val="auto"/>
                <w:sz w:val="24"/>
                <w:highlight w:val="none"/>
                <w:lang w:bidi="ar"/>
              </w:rPr>
              <w:t>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bookmarkEnd w:id="18"/>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泸州鑫盛轻工发展有限公司</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bookmarkStart w:id="19" w:name="OLE_LINK17"/>
            <w:r>
              <w:rPr>
                <w:rFonts w:hint="eastAsia"/>
                <w:color w:val="auto"/>
                <w:highlight w:val="none"/>
                <w:lang w:val="zh-CN"/>
              </w:rPr>
              <w:t>开 户 行：</w:t>
            </w:r>
            <w:r>
              <w:rPr>
                <w:rFonts w:hint="eastAsia"/>
                <w:color w:val="auto"/>
                <w:highlight w:val="none"/>
                <w:lang w:val="en-US" w:eastAsia="zh-CN"/>
              </w:rPr>
              <w:t>中国农业发展银行泸州市分行</w:t>
            </w:r>
            <w:r>
              <w:rPr>
                <w:rFonts w:hint="eastAsia"/>
                <w:color w:val="auto"/>
                <w:highlight w:val="none"/>
                <w:lang w:val="zh-CN"/>
              </w:rPr>
              <w:t>。</w:t>
            </w:r>
          </w:p>
          <w:p>
            <w:pPr>
              <w:pStyle w:val="28"/>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银行账号：</w:t>
            </w:r>
            <w:r>
              <w:rPr>
                <w:rFonts w:hint="eastAsia"/>
                <w:color w:val="auto"/>
                <w:highlight w:val="none"/>
                <w:lang w:val="en-US" w:eastAsia="zh-CN"/>
              </w:rPr>
              <w:t>20351059900100000404801</w:t>
            </w:r>
            <w:bookmarkEnd w:id="19"/>
            <w:r>
              <w:rPr>
                <w:rFonts w:hint="eastAsia"/>
                <w:color w:val="auto"/>
                <w:highlight w:val="none"/>
                <w:lang w:val="en-US" w:eastAsia="zh-CN"/>
              </w:rPr>
              <w:t xml:space="preserve">   </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须在银行</w:t>
            </w:r>
            <w:r>
              <w:rPr>
                <w:rFonts w:hint="eastAsia"/>
                <w:b/>
                <w:bCs/>
                <w:color w:val="auto"/>
                <w:highlight w:val="none"/>
                <w:lang w:eastAsia="zh-CN"/>
              </w:rPr>
              <w:t>转账</w:t>
            </w:r>
            <w:r>
              <w:rPr>
                <w:rFonts w:hint="eastAsia"/>
                <w:b/>
                <w:bCs/>
                <w:color w:val="auto"/>
                <w:highlight w:val="none"/>
              </w:rPr>
              <w:t>单备注栏注明：“</w:t>
            </w:r>
            <w:r>
              <w:rPr>
                <w:rFonts w:hint="eastAsia"/>
                <w:b/>
                <w:bCs/>
                <w:color w:val="auto"/>
                <w:highlight w:val="none"/>
                <w:lang w:val="en-US" w:eastAsia="zh-CN"/>
              </w:rPr>
              <w:t>环境影响评价、竣工、排污口论证询价保证金</w:t>
            </w:r>
            <w:r>
              <w:rPr>
                <w:rFonts w:hint="eastAsia"/>
                <w:b/>
                <w:bCs/>
                <w:color w:val="auto"/>
                <w:highlight w:val="none"/>
              </w:rPr>
              <w:t>”）。</w:t>
            </w:r>
            <w:r>
              <w:rPr>
                <w:rFonts w:hint="eastAsia"/>
                <w:bCs/>
                <w:color w:val="auto"/>
                <w:highlight w:val="none"/>
              </w:rPr>
              <w:t>询价</w:t>
            </w:r>
            <w:r>
              <w:rPr>
                <w:rFonts w:hint="eastAsia"/>
                <w:color w:val="auto"/>
                <w:highlight w:val="none"/>
                <w:lang w:val="zh-CN"/>
              </w:rPr>
              <w:t>结束后，采购人将全额无息退还供应商保证金。</w:t>
            </w:r>
          </w:p>
          <w:p>
            <w:pPr>
              <w:pStyle w:val="28"/>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袁先生</w:t>
            </w:r>
            <w:r>
              <w:rPr>
                <w:rFonts w:hint="eastAsia"/>
                <w:color w:val="auto"/>
                <w:highlight w:val="none"/>
              </w:rPr>
              <w:t xml:space="preserve">  </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0830-6522549</w:t>
            </w:r>
            <w:r>
              <w:rPr>
                <w:rFonts w:hint="eastAsia"/>
                <w:color w:val="auto"/>
                <w:highlight w:val="none"/>
              </w:rPr>
              <w:t xml:space="preserve"> </w:t>
            </w:r>
            <w:r>
              <w:rPr>
                <w:rFonts w:hint="eastAsia"/>
                <w:color w:val="auto"/>
                <w:highlight w:val="none"/>
                <w:lang w:val="zh-CN"/>
              </w:rPr>
              <w:t>。</w:t>
            </w:r>
          </w:p>
          <w:p>
            <w:pPr>
              <w:pStyle w:val="28"/>
              <w:spacing w:line="300" w:lineRule="auto"/>
              <w:ind w:firstLine="240" w:firstLineChars="100"/>
              <w:jc w:val="both"/>
              <w:rPr>
                <w:rFonts w:hint="eastAsia" w:eastAsia="宋体"/>
                <w:color w:val="auto"/>
                <w:highlight w:val="none"/>
                <w:lang w:val="zh-CN" w:eastAsia="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8"/>
              <w:spacing w:line="300" w:lineRule="auto"/>
              <w:ind w:left="694" w:leftChars="102" w:hanging="480" w:hangingChars="200"/>
              <w:rPr>
                <w:rFonts w:hint="eastAsia"/>
                <w:color w:val="auto"/>
                <w:highlight w:val="none"/>
              </w:rPr>
            </w:pPr>
            <w:r>
              <w:rPr>
                <w:rFonts w:hint="eastAsia"/>
                <w:color w:val="auto"/>
                <w:highlight w:val="none"/>
                <w:lang w:val="zh-CN"/>
              </w:rPr>
              <w:t>金额：</w:t>
            </w:r>
            <w:bookmarkStart w:id="20" w:name="OLE_LINK3"/>
            <w:r>
              <w:rPr>
                <w:rFonts w:hint="eastAsia"/>
                <w:b/>
                <w:bCs/>
                <w:color w:val="auto"/>
                <w:highlight w:val="none"/>
                <w:lang w:eastAsia="zh-CN"/>
              </w:rPr>
              <w:t>☑</w:t>
            </w:r>
            <w:bookmarkEnd w:id="20"/>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8"/>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8"/>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泸州鑫盛轻工发展有限公司</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中国农业发展银行泸州市分行</w:t>
            </w:r>
            <w:r>
              <w:rPr>
                <w:rFonts w:hint="eastAsia"/>
                <w:color w:val="auto"/>
                <w:highlight w:val="none"/>
                <w:lang w:val="zh-CN"/>
              </w:rPr>
              <w:t>。</w:t>
            </w:r>
          </w:p>
          <w:p>
            <w:pPr>
              <w:pStyle w:val="28"/>
              <w:spacing w:line="300" w:lineRule="auto"/>
              <w:ind w:firstLine="240" w:firstLineChars="100"/>
              <w:jc w:val="both"/>
              <w:rPr>
                <w:rFonts w:hint="default"/>
                <w:color w:val="auto"/>
                <w:highlight w:val="none"/>
                <w:lang w:val="en-US"/>
              </w:rPr>
            </w:pPr>
            <w:r>
              <w:rPr>
                <w:rFonts w:hint="eastAsia"/>
                <w:color w:val="auto"/>
                <w:highlight w:val="none"/>
                <w:lang w:val="zh-CN"/>
              </w:rPr>
              <w:t>银行账号：</w:t>
            </w:r>
            <w:r>
              <w:rPr>
                <w:rFonts w:hint="eastAsia"/>
                <w:color w:val="auto"/>
                <w:highlight w:val="none"/>
                <w:lang w:val="en-US" w:eastAsia="zh-CN"/>
              </w:rPr>
              <w:t>20351059900100000404801 。</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54" w:hRule="atLeast"/>
          <w:jc w:val="center"/>
        </w:trPr>
        <w:tc>
          <w:tcPr>
            <w:tcW w:w="677" w:type="dxa"/>
            <w:noWrap w:val="0"/>
            <w:vAlign w:val="center"/>
          </w:tcPr>
          <w:p>
            <w:pPr>
              <w:pStyle w:val="28"/>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8"/>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val="0"/>
                <w:bCs w:val="0"/>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val="en-US" w:eastAsia="zh-CN" w:bidi="ar"/>
              </w:rPr>
              <w:t>泸州鑫盛轻工发展有限公司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袁先生</w:t>
            </w:r>
            <w:r>
              <w:rPr>
                <w:rFonts w:hint="eastAsia" w:ascii="宋体" w:hAnsi="宋体" w:cs="宋体"/>
                <w:color w:val="auto"/>
                <w:kern w:val="0"/>
                <w:sz w:val="24"/>
                <w:highlight w:val="none"/>
              </w:rPr>
              <w:t xml:space="preserve"> </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eastAsia="zh-CN"/>
              </w:rPr>
              <w:t>0830-6522549</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8"/>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袁先生</w:t>
            </w:r>
            <w:r>
              <w:rPr>
                <w:rFonts w:hint="eastAsia"/>
                <w:color w:val="auto"/>
                <w:highlight w:val="none"/>
              </w:rPr>
              <w:t>。</w:t>
            </w:r>
          </w:p>
          <w:p>
            <w:pPr>
              <w:pStyle w:val="28"/>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lang w:eastAsia="zh-CN"/>
              </w:rPr>
              <w:t>0830-6522549</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8"/>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袁先生</w:t>
            </w:r>
          </w:p>
          <w:p>
            <w:pPr>
              <w:pStyle w:val="28"/>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eastAsia="zh-CN"/>
              </w:rPr>
              <w:t>0830-6522549</w:t>
            </w:r>
            <w:r>
              <w:rPr>
                <w:rFonts w:hint="eastAsia"/>
                <w:color w:val="auto"/>
                <w:highlight w:val="none"/>
              </w:rPr>
              <w:t xml:space="preserve"> </w:t>
            </w:r>
          </w:p>
          <w:p>
            <w:pPr>
              <w:pStyle w:val="28"/>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宋体" w:hAnsi="宋体" w:eastAsia="宋体" w:cs="宋体"/>
                <w:color w:val="auto"/>
                <w:sz w:val="24"/>
                <w:highlight w:val="none"/>
                <w:lang w:val="en-US" w:eastAsia="zh-CN"/>
              </w:rPr>
              <w:t>6523011</w:t>
            </w:r>
            <w:r>
              <w:rPr>
                <w:rFonts w:hint="eastAsia" w:ascii="宋体" w:hAnsi="宋体" w:eastAsia="宋体" w:cs="宋体"/>
                <w:color w:val="auto"/>
                <w:highlight w:val="none"/>
                <w:lang w:val="zh-CN"/>
              </w:rPr>
              <w:t>。</w:t>
            </w:r>
          </w:p>
          <w:p>
            <w:pPr>
              <w:pStyle w:val="27"/>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lang w:val="en-US" w:eastAsia="zh-CN"/>
              </w:rPr>
              <w:t>646000</w:t>
            </w:r>
            <w:r>
              <w:rPr>
                <w:rFonts w:hint="eastAsia"/>
                <w:color w:val="auto"/>
                <w:highlight w:val="none"/>
                <w:lang w:val="zh-CN"/>
              </w:rPr>
              <w:t>。</w:t>
            </w:r>
          </w:p>
          <w:p>
            <w:pPr>
              <w:pStyle w:val="28"/>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06</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 xml:space="preserve">30 </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10:</w:t>
            </w:r>
            <w:bookmarkStart w:id="102" w:name="_GoBack"/>
            <w:bookmarkEnd w:id="102"/>
            <w:r>
              <w:rPr>
                <w:rFonts w:hint="eastAsia" w:ascii="宋体" w:hAnsi="宋体" w:cs="宋体"/>
                <w:color w:val="auto"/>
                <w:kern w:val="0"/>
                <w:sz w:val="24"/>
                <w:highlight w:val="none"/>
                <w:lang w:val="en-US" w:eastAsia="zh-CN"/>
              </w:rPr>
              <w:t>00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1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rPr>
            </w:pPr>
            <w:r>
              <w:rPr>
                <w:rFonts w:hint="eastAsia"/>
                <w:color w:val="auto"/>
                <w:highlight w:val="none"/>
                <w:lang w:val="en-US" w:eastAsia="zh-CN"/>
              </w:rPr>
              <w:t>服务期限</w:t>
            </w:r>
            <w:r>
              <w:rPr>
                <w:rFonts w:hint="eastAsia"/>
                <w:color w:val="auto"/>
                <w:highlight w:val="none"/>
              </w:rPr>
              <w:t>（工期）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color w:val="auto"/>
                <w:sz w:val="24"/>
                <w:highlight w:val="none"/>
                <w:lang w:val="en-US" w:eastAsia="zh-CN"/>
              </w:rPr>
            </w:pPr>
            <w:r>
              <w:rPr>
                <w:rFonts w:hint="eastAsia"/>
                <w:color w:val="auto"/>
                <w:sz w:val="24"/>
                <w:szCs w:val="24"/>
                <w:highlight w:val="none"/>
                <w:lang w:val="en-US" w:eastAsia="zh-CN"/>
              </w:rPr>
              <w:t>合同签订后20个日历日完成入河排污口论证报告（含监测）、环境影响评价报告表（含监测）编制后提交主管部门进行审核并取得相应批复，项目竣工验收后25个日历日完成环境保护竣工验收报告（含监测）编制并提交主管部门进行审核，最终取得相应批复文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8"/>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8"/>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2"/>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firstLine="240" w:firstLineChars="100"/>
              <w:rPr>
                <w:rFonts w:hint="eastAsia"/>
                <w:color w:val="auto"/>
                <w:highlight w:val="none"/>
                <w:lang w:val="zh-CN"/>
              </w:rPr>
            </w:pP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6523011</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21" w:name="_Toc14219"/>
      <w:bookmarkStart w:id="22" w:name="_Toc91771149"/>
      <w:r>
        <w:rPr>
          <w:rFonts w:hint="eastAsia" w:ascii="宋体" w:hAnsi="宋体"/>
          <w:b/>
          <w:color w:val="auto"/>
          <w:sz w:val="32"/>
          <w:highlight w:val="none"/>
        </w:rPr>
        <w:t>二、总则</w:t>
      </w:r>
      <w:bookmarkEnd w:id="21"/>
      <w:bookmarkEnd w:id="22"/>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9"/>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9"/>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7"/>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7"/>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7"/>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23" w:name="_Toc20713"/>
      <w:bookmarkStart w:id="24" w:name="_Toc91771150"/>
      <w:r>
        <w:rPr>
          <w:rFonts w:ascii="宋体" w:hAnsi="宋体"/>
          <w:b/>
          <w:color w:val="auto"/>
          <w:sz w:val="32"/>
          <w:highlight w:val="none"/>
        </w:rPr>
        <w:t>三、询价文件</w:t>
      </w:r>
      <w:bookmarkEnd w:id="23"/>
      <w:bookmarkEnd w:id="24"/>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25" w:name="_Toc91771151"/>
      <w:bookmarkStart w:id="26" w:name="_Toc7918"/>
      <w:r>
        <w:rPr>
          <w:rFonts w:ascii="宋体" w:hAnsi="宋体"/>
          <w:b/>
          <w:color w:val="auto"/>
          <w:sz w:val="32"/>
          <w:highlight w:val="none"/>
        </w:rPr>
        <w:t>四、询价响应文件</w:t>
      </w:r>
      <w:bookmarkEnd w:id="25"/>
      <w:bookmarkEnd w:id="26"/>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3"/>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27" w:name="_Toc27568"/>
      <w:bookmarkStart w:id="28" w:name="_Toc91771152"/>
      <w:r>
        <w:rPr>
          <w:rFonts w:ascii="宋体" w:hAnsi="宋体"/>
          <w:b/>
          <w:color w:val="auto"/>
          <w:sz w:val="32"/>
          <w:highlight w:val="none"/>
        </w:rPr>
        <w:t>五、询价及评审过程</w:t>
      </w:r>
      <w:bookmarkEnd w:id="27"/>
      <w:bookmarkEnd w:id="28"/>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29" w:name="_Toc4456"/>
      <w:bookmarkStart w:id="30" w:name="_Toc91771153"/>
      <w:r>
        <w:rPr>
          <w:rFonts w:ascii="宋体" w:hAnsi="宋体"/>
          <w:b/>
          <w:color w:val="auto"/>
          <w:sz w:val="32"/>
          <w:highlight w:val="none"/>
        </w:rPr>
        <w:t>六、成交事项</w:t>
      </w:r>
      <w:bookmarkEnd w:id="29"/>
      <w:bookmarkEnd w:id="30"/>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w:t>
      </w:r>
      <w:r>
        <w:rPr>
          <w:rFonts w:hint="eastAsia"/>
          <w:color w:val="auto"/>
          <w:sz w:val="24"/>
          <w:highlight w:val="none"/>
        </w:rPr>
        <w:t>或与本项目存在法律纠纷的供应商</w:t>
      </w:r>
      <w:r>
        <w:rPr>
          <w:color w:val="auto"/>
          <w:sz w:val="24"/>
          <w:highlight w:val="none"/>
        </w:rPr>
        <w:t>，禁止报名参加本项目的采购活动（以联合体形式参加本项目采购活动，联合体成员被兴阳集团列入不诚信供应商库的存在不良信用记录的，视同联合体被兴阳集团列入不诚信供应商库）。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31" w:name="_Toc11002"/>
      <w:bookmarkStart w:id="32" w:name="_Toc91771154"/>
      <w:r>
        <w:rPr>
          <w:rFonts w:ascii="宋体" w:hAnsi="宋体"/>
          <w:b/>
          <w:color w:val="auto"/>
          <w:sz w:val="32"/>
          <w:highlight w:val="none"/>
        </w:rPr>
        <w:t>七、合同事项</w:t>
      </w:r>
      <w:bookmarkEnd w:id="31"/>
      <w:bookmarkEnd w:id="32"/>
    </w:p>
    <w:p>
      <w:pPr>
        <w:spacing w:line="360" w:lineRule="auto"/>
        <w:rPr>
          <w:b/>
          <w:color w:val="auto"/>
          <w:sz w:val="24"/>
          <w:highlight w:val="none"/>
        </w:rPr>
      </w:pPr>
      <w:bookmarkStart w:id="33" w:name="_Toc101250646"/>
      <w:bookmarkStart w:id="34" w:name="_Toc101338364"/>
      <w:bookmarkStart w:id="35" w:name="_Toc209847069"/>
      <w:bookmarkStart w:id="36" w:name="_Toc430773927"/>
      <w:bookmarkStart w:id="37" w:name="_Toc101174151"/>
      <w:r>
        <w:rPr>
          <w:b/>
          <w:color w:val="auto"/>
          <w:sz w:val="24"/>
          <w:highlight w:val="none"/>
        </w:rPr>
        <w:t>25.签订合同</w:t>
      </w:r>
      <w:bookmarkEnd w:id="33"/>
      <w:bookmarkEnd w:id="34"/>
      <w:bookmarkEnd w:id="35"/>
      <w:bookmarkEnd w:id="36"/>
      <w:bookmarkEnd w:id="37"/>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w:t>
      </w:r>
      <w:r>
        <w:rPr>
          <w:rFonts w:hint="eastAsia"/>
          <w:color w:val="auto"/>
          <w:sz w:val="24"/>
          <w:highlight w:val="none"/>
          <w:lang w:val="en-US" w:eastAsia="zh-CN"/>
        </w:rPr>
        <w:t>中华人民共和国</w:t>
      </w:r>
      <w:r>
        <w:rPr>
          <w:color w:val="auto"/>
          <w:sz w:val="24"/>
          <w:highlight w:val="none"/>
        </w:rPr>
        <w:t>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38" w:name="_Toc91771155"/>
      <w:bookmarkStart w:id="39" w:name="_Toc29183"/>
      <w:r>
        <w:rPr>
          <w:rFonts w:ascii="宋体" w:hAnsi="宋体"/>
          <w:b/>
          <w:color w:val="auto"/>
          <w:sz w:val="32"/>
          <w:highlight w:val="none"/>
        </w:rPr>
        <w:t>八、询价纪律要求</w:t>
      </w:r>
      <w:bookmarkEnd w:id="38"/>
      <w:bookmarkEnd w:id="39"/>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40" w:name="_Toc1519"/>
      <w:bookmarkStart w:id="41" w:name="_Toc91771156"/>
      <w:r>
        <w:rPr>
          <w:rFonts w:ascii="宋体" w:hAnsi="宋体"/>
          <w:b/>
          <w:color w:val="auto"/>
          <w:sz w:val="32"/>
          <w:highlight w:val="none"/>
        </w:rPr>
        <w:t>九、询问、质疑和投诉</w:t>
      </w:r>
      <w:bookmarkEnd w:id="40"/>
      <w:bookmarkEnd w:id="41"/>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42" w:name="_Toc91771157"/>
      <w:bookmarkStart w:id="43" w:name="_Toc25236"/>
      <w:r>
        <w:rPr>
          <w:rFonts w:ascii="宋体" w:hAnsi="宋体"/>
          <w:b/>
          <w:color w:val="auto"/>
          <w:sz w:val="32"/>
          <w:highlight w:val="none"/>
        </w:rPr>
        <w:t>十、其他</w:t>
      </w:r>
      <w:bookmarkEnd w:id="42"/>
      <w:bookmarkEnd w:id="43"/>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44" w:name="_Toc183582232"/>
      <w:bookmarkStart w:id="45" w:name="_Toc183682369"/>
      <w:bookmarkStart w:id="46" w:name="_Toc217446057"/>
      <w:r>
        <w:rPr>
          <w:rFonts w:ascii="黑体" w:hAnsi="黑体" w:eastAsia="黑体"/>
          <w:color w:val="auto"/>
          <w:sz w:val="36"/>
          <w:highlight w:val="none"/>
        </w:rPr>
        <w:br w:type="page"/>
      </w:r>
      <w:bookmarkStart w:id="47" w:name="_Toc18678"/>
      <w:bookmarkStart w:id="48" w:name="_Toc91771158"/>
      <w:r>
        <w:rPr>
          <w:rFonts w:hint="eastAsia" w:ascii="黑体" w:hAnsi="黑体" w:eastAsia="黑体"/>
          <w:color w:val="auto"/>
          <w:sz w:val="36"/>
          <w:highlight w:val="none"/>
        </w:rPr>
        <w:t>第三章 项目技术、服务及商务要求</w:t>
      </w:r>
      <w:bookmarkEnd w:id="47"/>
      <w:bookmarkEnd w:id="48"/>
    </w:p>
    <w:p>
      <w:pPr>
        <w:outlineLvl w:val="1"/>
        <w:rPr>
          <w:rFonts w:hint="eastAsia" w:ascii="宋体" w:hAnsi="宋体"/>
          <w:b/>
          <w:color w:val="auto"/>
          <w:sz w:val="32"/>
          <w:highlight w:val="none"/>
        </w:rPr>
      </w:pPr>
      <w:bookmarkStart w:id="49" w:name="_Toc91771159"/>
      <w:bookmarkStart w:id="50" w:name="_Toc4052"/>
      <w:r>
        <w:rPr>
          <w:rFonts w:hint="eastAsia" w:ascii="宋体" w:hAnsi="宋体"/>
          <w:b/>
          <w:color w:val="auto"/>
          <w:sz w:val="32"/>
          <w:highlight w:val="none"/>
        </w:rPr>
        <w:t>一、项目概况</w:t>
      </w:r>
      <w:bookmarkEnd w:id="49"/>
      <w:bookmarkEnd w:id="50"/>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拟建内容：对江阳区15个一、二级场镇</w:t>
      </w:r>
      <w:r>
        <w:rPr>
          <w:rFonts w:hint="eastAsia" w:ascii="宋体" w:hAnsi="宋体" w:cs="宋体"/>
          <w:color w:val="auto"/>
          <w:sz w:val="24"/>
          <w:szCs w:val="24"/>
          <w:lang w:val="en-US" w:eastAsia="zh-CN"/>
        </w:rPr>
        <w:t>场站、</w:t>
      </w:r>
      <w:r>
        <w:rPr>
          <w:rFonts w:hint="eastAsia" w:ascii="宋体" w:hAnsi="宋体" w:eastAsia="宋体" w:cs="宋体"/>
          <w:color w:val="auto"/>
          <w:sz w:val="24"/>
          <w:szCs w:val="24"/>
          <w:lang w:val="en-US" w:eastAsia="zh-CN"/>
        </w:rPr>
        <w:t>雨污水管网进行改造，涉及改造区域面积约20平方公里，预计建设支管60余公里。改扩建场站相应规模详见下表：</w:t>
      </w:r>
      <w:r>
        <w:rPr>
          <w:rFonts w:hint="eastAsia" w:ascii="宋体" w:hAnsi="宋体" w:cs="宋体"/>
          <w:color w:val="auto"/>
          <w:sz w:val="24"/>
          <w:szCs w:val="24"/>
          <w:lang w:val="en-US" w:eastAsia="zh-CN"/>
        </w:rPr>
        <w:t>（单位：吨）</w:t>
      </w:r>
    </w:p>
    <w:p>
      <w:pPr>
        <w:pStyle w:val="17"/>
        <w:rPr>
          <w:sz w:val="18"/>
          <w:szCs w:val="18"/>
        </w:rPr>
      </w:pPr>
      <w:r>
        <w:rPr>
          <w:sz w:val="18"/>
          <w:szCs w:val="18"/>
        </w:rPr>
        <w:drawing>
          <wp:inline distT="0" distB="0" distL="114300" distR="114300">
            <wp:extent cx="5272405" cy="5045710"/>
            <wp:effectExtent l="0" t="0" r="4445" b="2540"/>
            <wp:docPr id="2" name="图片 2" descr="1b9667dd7f2d5ae46e89917b19772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b9667dd7f2d5ae46e89917b197724b"/>
                    <pic:cNvPicPr>
                      <a:picLocks noChangeAspect="1"/>
                    </pic:cNvPicPr>
                  </pic:nvPicPr>
                  <pic:blipFill>
                    <a:blip r:embed="rId23"/>
                    <a:stretch>
                      <a:fillRect/>
                    </a:stretch>
                  </pic:blipFill>
                  <pic:spPr>
                    <a:xfrm>
                      <a:off x="0" y="0"/>
                      <a:ext cx="5272405" cy="5045710"/>
                    </a:xfrm>
                    <a:prstGeom prst="rect">
                      <a:avLst/>
                    </a:prstGeom>
                  </pic:spPr>
                </pic:pic>
              </a:graphicData>
            </a:graphic>
          </wp:inline>
        </w:drawing>
      </w:r>
    </w:p>
    <w:p>
      <w:pPr>
        <w:pStyle w:val="17"/>
        <w:rPr>
          <w:rFonts w:hint="default" w:eastAsia="宋体"/>
          <w:b/>
          <w:bCs/>
          <w:sz w:val="32"/>
          <w:szCs w:val="32"/>
          <w:lang w:val="en-US" w:eastAsia="zh-CN"/>
        </w:rPr>
      </w:pPr>
      <w:r>
        <w:rPr>
          <w:rFonts w:hint="eastAsia"/>
          <w:b/>
          <w:bCs/>
          <w:sz w:val="32"/>
          <w:szCs w:val="32"/>
          <w:lang w:val="en-US" w:eastAsia="zh-CN"/>
        </w:rPr>
        <w:t>二、报价限价要求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129" w:type="dxa"/>
            <w:vAlign w:val="center"/>
          </w:tcPr>
          <w:p>
            <w:pPr>
              <w:spacing w:before="0" w:beforeLines="0" w:line="240" w:lineRule="auto"/>
              <w:jc w:val="center"/>
              <w:rPr>
                <w:rFonts w:hint="default" w:eastAsia="宋体"/>
                <w:color w:val="auto"/>
                <w:sz w:val="24"/>
                <w:highlight w:val="none"/>
                <w:vertAlign w:val="baseline"/>
                <w:lang w:val="en-US" w:eastAsia="zh-CN"/>
              </w:rPr>
            </w:pPr>
            <w:bookmarkStart w:id="51" w:name="_Toc91771161"/>
            <w:bookmarkStart w:id="52" w:name="_Toc1461"/>
            <w:r>
              <w:rPr>
                <w:rFonts w:hint="eastAsia"/>
                <w:color w:val="auto"/>
                <w:sz w:val="24"/>
                <w:highlight w:val="none"/>
                <w:vertAlign w:val="baseline"/>
                <w:lang w:val="en-US" w:eastAsia="zh-CN"/>
              </w:rPr>
              <w:t>项目名称</w:t>
            </w:r>
          </w:p>
        </w:tc>
        <w:tc>
          <w:tcPr>
            <w:tcW w:w="2130" w:type="dxa"/>
            <w:vAlign w:val="center"/>
          </w:tcPr>
          <w:p>
            <w:pPr>
              <w:spacing w:before="0" w:beforeLines="0" w:line="24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各项内容名称</w:t>
            </w:r>
          </w:p>
        </w:tc>
        <w:tc>
          <w:tcPr>
            <w:tcW w:w="2130" w:type="dxa"/>
            <w:vAlign w:val="center"/>
          </w:tcPr>
          <w:p>
            <w:pPr>
              <w:spacing w:before="0" w:beforeLines="0" w:line="24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报价限价</w:t>
            </w:r>
          </w:p>
        </w:tc>
        <w:tc>
          <w:tcPr>
            <w:tcW w:w="2130" w:type="dxa"/>
            <w:vAlign w:val="center"/>
          </w:tcPr>
          <w:p>
            <w:pPr>
              <w:spacing w:before="0" w:beforeLines="0" w:line="240" w:lineRule="auto"/>
              <w:jc w:val="center"/>
              <w:rPr>
                <w:rFonts w:hint="default"/>
                <w:color w:val="auto"/>
                <w:sz w:val="24"/>
                <w:highlight w:val="none"/>
                <w:vertAlign w:val="baseline"/>
                <w:lang w:val="en-US" w:eastAsia="zh-CN"/>
              </w:rPr>
            </w:pPr>
            <w:r>
              <w:rPr>
                <w:rFonts w:hint="eastAsia"/>
                <w:color w:val="auto"/>
                <w:sz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129" w:type="dxa"/>
            <w:vMerge w:val="restart"/>
          </w:tcPr>
          <w:p>
            <w:pPr>
              <w:spacing w:before="0" w:beforeLines="0" w:line="240" w:lineRule="auto"/>
              <w:rPr>
                <w:rFonts w:hint="eastAsia"/>
                <w:color w:val="auto"/>
                <w:sz w:val="24"/>
                <w:highlight w:val="none"/>
                <w:lang w:val="en-US" w:eastAsia="zh-CN"/>
              </w:rPr>
            </w:pPr>
          </w:p>
          <w:p>
            <w:pPr>
              <w:spacing w:before="0" w:beforeLines="0" w:line="240" w:lineRule="auto"/>
              <w:rPr>
                <w:rFonts w:hint="eastAsia"/>
                <w:color w:val="auto"/>
                <w:sz w:val="24"/>
                <w:highlight w:val="none"/>
                <w:lang w:val="en-US" w:eastAsia="zh-CN"/>
              </w:rPr>
            </w:pPr>
          </w:p>
          <w:p>
            <w:pPr>
              <w:spacing w:before="0" w:beforeLines="0" w:line="240" w:lineRule="auto"/>
              <w:rPr>
                <w:rFonts w:hint="eastAsia"/>
                <w:color w:val="auto"/>
                <w:sz w:val="24"/>
                <w:highlight w:val="none"/>
                <w:vertAlign w:val="baseline"/>
              </w:rPr>
            </w:pPr>
            <w:r>
              <w:rPr>
                <w:rFonts w:hint="eastAsia"/>
                <w:color w:val="auto"/>
                <w:sz w:val="24"/>
                <w:highlight w:val="none"/>
                <w:lang w:val="en-US" w:eastAsia="zh-CN"/>
              </w:rPr>
              <w:t>2021年泸州市江阳区城镇污水处理设施提质增效项目环境影响评价、环境保护竣工验收、入河排污口论证服务采购</w:t>
            </w:r>
          </w:p>
        </w:tc>
        <w:tc>
          <w:tcPr>
            <w:tcW w:w="2130" w:type="dxa"/>
          </w:tcPr>
          <w:p>
            <w:pPr>
              <w:spacing w:before="0" w:beforeLines="0" w:line="240" w:lineRule="auto"/>
              <w:rPr>
                <w:rFonts w:hint="eastAsia"/>
                <w:color w:val="auto"/>
                <w:sz w:val="24"/>
                <w:highlight w:val="none"/>
                <w:vertAlign w:val="baseline"/>
              </w:rPr>
            </w:pPr>
            <w:r>
              <w:rPr>
                <w:rFonts w:hint="eastAsia" w:ascii="宋体" w:hAnsi="宋体" w:eastAsia="宋体" w:cs="宋体"/>
                <w:b w:val="0"/>
                <w:bCs w:val="0"/>
                <w:color w:val="auto"/>
                <w:kern w:val="0"/>
                <w:sz w:val="24"/>
                <w:szCs w:val="24"/>
                <w:lang w:val="en-US" w:eastAsia="zh-CN"/>
              </w:rPr>
              <w:t>入河排污口论证报告（含监测）</w:t>
            </w:r>
          </w:p>
        </w:tc>
        <w:tc>
          <w:tcPr>
            <w:tcW w:w="2130" w:type="dxa"/>
            <w:vAlign w:val="center"/>
          </w:tcPr>
          <w:p>
            <w:pPr>
              <w:spacing w:before="0" w:beforeLines="0" w:line="240" w:lineRule="auto"/>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20万元</w:t>
            </w:r>
          </w:p>
        </w:tc>
        <w:tc>
          <w:tcPr>
            <w:tcW w:w="2130" w:type="dxa"/>
            <w:vMerge w:val="restart"/>
          </w:tcPr>
          <w:p>
            <w:pPr>
              <w:spacing w:before="0" w:beforeLines="0" w:line="240" w:lineRule="auto"/>
              <w:rPr>
                <w:rFonts w:hint="eastAsia"/>
                <w:color w:val="auto"/>
                <w:sz w:val="24"/>
                <w:highlight w:val="none"/>
                <w:vertAlign w:val="baseline"/>
                <w:lang w:val="en-US" w:eastAsia="zh-CN"/>
              </w:rPr>
            </w:pPr>
          </w:p>
          <w:p>
            <w:pPr>
              <w:spacing w:before="0" w:beforeLines="0" w:line="240" w:lineRule="auto"/>
              <w:rPr>
                <w:rFonts w:hint="eastAsia"/>
                <w:color w:val="auto"/>
                <w:sz w:val="24"/>
                <w:highlight w:val="none"/>
                <w:vertAlign w:val="baseline"/>
                <w:lang w:val="en-US" w:eastAsia="zh-CN"/>
              </w:rPr>
            </w:pPr>
          </w:p>
          <w:p>
            <w:pPr>
              <w:spacing w:before="0" w:beforeLines="0" w:line="240" w:lineRule="auto"/>
              <w:rPr>
                <w:rFonts w:hint="eastAsia"/>
                <w:color w:val="auto"/>
                <w:sz w:val="24"/>
                <w:highlight w:val="none"/>
                <w:vertAlign w:val="baseline"/>
                <w:lang w:val="en-US" w:eastAsia="zh-CN"/>
              </w:rPr>
            </w:pPr>
          </w:p>
          <w:p>
            <w:pPr>
              <w:spacing w:before="0" w:beforeLines="0" w:line="240" w:lineRule="auto"/>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含取得各项</w:t>
            </w:r>
            <w:r>
              <w:rPr>
                <w:rFonts w:hint="eastAsia" w:ascii="宋体" w:hAnsi="宋体" w:eastAsia="宋体" w:cs="宋体"/>
                <w:color w:val="auto"/>
                <w:sz w:val="24"/>
                <w:szCs w:val="24"/>
                <w:lang w:val="zh-CN" w:eastAsia="zh-CN"/>
              </w:rPr>
              <w:t>相应批复文件</w:t>
            </w:r>
            <w:r>
              <w:rPr>
                <w:rFonts w:hint="eastAsia" w:ascii="宋体" w:hAnsi="宋体" w:cs="宋体"/>
                <w:color w:val="auto"/>
                <w:sz w:val="24"/>
                <w:szCs w:val="24"/>
                <w:lang w:val="en-US" w:eastAsia="zh-CN"/>
              </w:rPr>
              <w:t>的</w:t>
            </w:r>
            <w:r>
              <w:rPr>
                <w:rFonts w:hint="eastAsia"/>
                <w:color w:val="auto"/>
                <w:sz w:val="24"/>
                <w:highlight w:val="none"/>
                <w:vertAlign w:val="baseline"/>
                <w:lang w:val="en-US" w:eastAsia="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29" w:type="dxa"/>
            <w:vMerge w:val="continue"/>
          </w:tcPr>
          <w:p>
            <w:pPr>
              <w:spacing w:before="0" w:beforeLines="0" w:line="240" w:lineRule="auto"/>
              <w:rPr>
                <w:rFonts w:hint="eastAsia"/>
                <w:color w:val="auto"/>
                <w:sz w:val="24"/>
                <w:highlight w:val="none"/>
                <w:vertAlign w:val="baseline"/>
              </w:rPr>
            </w:pPr>
          </w:p>
        </w:tc>
        <w:tc>
          <w:tcPr>
            <w:tcW w:w="2130" w:type="dxa"/>
          </w:tcPr>
          <w:p>
            <w:pPr>
              <w:spacing w:before="0" w:beforeLines="0" w:line="240" w:lineRule="auto"/>
              <w:rPr>
                <w:rFonts w:hint="eastAsia"/>
                <w:color w:val="auto"/>
                <w:sz w:val="24"/>
                <w:highlight w:val="none"/>
                <w:vertAlign w:val="baseline"/>
              </w:rPr>
            </w:pPr>
            <w:r>
              <w:rPr>
                <w:rFonts w:hint="eastAsia" w:ascii="宋体" w:hAnsi="宋体" w:eastAsia="宋体" w:cs="宋体"/>
                <w:b w:val="0"/>
                <w:bCs w:val="0"/>
                <w:color w:val="auto"/>
                <w:kern w:val="0"/>
                <w:sz w:val="24"/>
                <w:szCs w:val="24"/>
                <w:lang w:val="en-US" w:eastAsia="zh-CN"/>
              </w:rPr>
              <w:t>环境影响评价报告表（含监测）</w:t>
            </w:r>
          </w:p>
        </w:tc>
        <w:tc>
          <w:tcPr>
            <w:tcW w:w="2130" w:type="dxa"/>
            <w:vAlign w:val="center"/>
          </w:tcPr>
          <w:p>
            <w:pPr>
              <w:spacing w:before="0" w:beforeLines="0" w:line="240" w:lineRule="auto"/>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3万元</w:t>
            </w:r>
          </w:p>
        </w:tc>
        <w:tc>
          <w:tcPr>
            <w:tcW w:w="2130" w:type="dxa"/>
            <w:vMerge w:val="continue"/>
          </w:tcPr>
          <w:p>
            <w:pPr>
              <w:spacing w:before="0" w:beforeLines="0" w:line="240" w:lineRule="auto"/>
              <w:rPr>
                <w:rFonts w:hint="eastAsia"/>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129" w:type="dxa"/>
            <w:vMerge w:val="continue"/>
          </w:tcPr>
          <w:p>
            <w:pPr>
              <w:spacing w:before="0" w:beforeLines="0" w:line="240" w:lineRule="auto"/>
              <w:rPr>
                <w:rFonts w:hint="eastAsia"/>
                <w:color w:val="auto"/>
                <w:sz w:val="24"/>
                <w:highlight w:val="none"/>
                <w:vertAlign w:val="baseline"/>
              </w:rPr>
            </w:pPr>
          </w:p>
        </w:tc>
        <w:tc>
          <w:tcPr>
            <w:tcW w:w="2130" w:type="dxa"/>
          </w:tcPr>
          <w:p>
            <w:pPr>
              <w:spacing w:before="0" w:beforeLines="0" w:line="240" w:lineRule="auto"/>
              <w:rPr>
                <w:rFonts w:hint="eastAsia" w:ascii="宋体" w:hAnsi="宋体" w:eastAsia="宋体" w:cs="宋体"/>
                <w:b w:val="0"/>
                <w:bCs w:val="0"/>
                <w:color w:val="auto"/>
                <w:kern w:val="0"/>
                <w:sz w:val="24"/>
                <w:szCs w:val="24"/>
                <w:lang w:val="en-US" w:eastAsia="zh-CN"/>
              </w:rPr>
            </w:pPr>
          </w:p>
          <w:p>
            <w:pPr>
              <w:spacing w:before="0" w:beforeLines="0" w:line="240" w:lineRule="auto"/>
              <w:rPr>
                <w:rFonts w:hint="eastAsia"/>
                <w:color w:val="auto"/>
                <w:sz w:val="24"/>
                <w:highlight w:val="none"/>
                <w:vertAlign w:val="baseline"/>
              </w:rPr>
            </w:pPr>
            <w:r>
              <w:rPr>
                <w:rFonts w:hint="eastAsia" w:ascii="宋体" w:hAnsi="宋体" w:eastAsia="宋体" w:cs="宋体"/>
                <w:b w:val="0"/>
                <w:bCs w:val="0"/>
                <w:color w:val="auto"/>
                <w:kern w:val="0"/>
                <w:sz w:val="24"/>
                <w:szCs w:val="24"/>
                <w:lang w:val="en-US" w:eastAsia="zh-CN"/>
              </w:rPr>
              <w:t>环境保护竣工验收报告（含监测）</w:t>
            </w:r>
          </w:p>
        </w:tc>
        <w:tc>
          <w:tcPr>
            <w:tcW w:w="2130" w:type="dxa"/>
            <w:vAlign w:val="center"/>
          </w:tcPr>
          <w:p>
            <w:pPr>
              <w:spacing w:before="0" w:beforeLines="0" w:line="240" w:lineRule="auto"/>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3万元</w:t>
            </w:r>
          </w:p>
        </w:tc>
        <w:tc>
          <w:tcPr>
            <w:tcW w:w="2130" w:type="dxa"/>
            <w:vMerge w:val="continue"/>
          </w:tcPr>
          <w:p>
            <w:pPr>
              <w:spacing w:before="0" w:beforeLines="0" w:line="240" w:lineRule="auto"/>
              <w:rPr>
                <w:rFonts w:hint="eastAsia"/>
                <w:color w:val="auto"/>
                <w:sz w:val="24"/>
                <w:highlight w:val="none"/>
                <w:vertAlign w:val="baseline"/>
              </w:rPr>
            </w:pPr>
          </w:p>
        </w:tc>
      </w:tr>
    </w:tbl>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b/>
          <w:color w:val="auto"/>
          <w:sz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b/>
          <w:color w:val="auto"/>
          <w:sz w:val="32"/>
          <w:highlight w:val="none"/>
        </w:rPr>
      </w:pPr>
      <w:r>
        <w:rPr>
          <w:rFonts w:hint="eastAsia" w:ascii="宋体" w:hAnsi="宋体"/>
          <w:b/>
          <w:color w:val="auto"/>
          <w:sz w:val="32"/>
          <w:highlight w:val="none"/>
          <w:lang w:val="en-US" w:eastAsia="zh-CN"/>
        </w:rPr>
        <w:t>三</w:t>
      </w:r>
      <w:r>
        <w:rPr>
          <w:rFonts w:hint="eastAsia" w:ascii="宋体" w:hAnsi="宋体"/>
          <w:b/>
          <w:color w:val="auto"/>
          <w:sz w:val="32"/>
          <w:highlight w:val="none"/>
        </w:rPr>
        <w:t>、服务要求</w:t>
      </w:r>
      <w:bookmarkEnd w:id="51"/>
      <w:bookmarkEnd w:id="52"/>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0"/>
          <w:sz w:val="24"/>
          <w:szCs w:val="24"/>
          <w:lang w:val="en-US" w:eastAsia="zh-CN"/>
        </w:rPr>
        <w:t>1、</w:t>
      </w:r>
      <w:r>
        <w:rPr>
          <w:rFonts w:hint="eastAsia" w:ascii="宋体" w:hAnsi="宋体" w:cs="宋体"/>
          <w:b w:val="0"/>
          <w:bCs w:val="0"/>
          <w:color w:val="auto"/>
          <w:kern w:val="0"/>
          <w:sz w:val="24"/>
          <w:szCs w:val="24"/>
          <w:lang w:val="en-US" w:eastAsia="zh-CN"/>
        </w:rPr>
        <w:t>包括但不限于完成项目入河排污口论证报告（含监测）涉及分水(扩建至800)、白马(扩建至1200)、中寨(扩建至400)、况场(新建400)四个场站；环境影响评价表（含监测）、环境保护竣工验收报告（含监测）涉及白马(1200)，并汇总所有场站环评情况附在白马环评表。分别取得相关主管部门批复。</w:t>
      </w:r>
    </w:p>
    <w:p>
      <w:pPr>
        <w:spacing w:line="400" w:lineRule="exact"/>
        <w:ind w:left="0" w:leftChars="0" w:firstLine="0" w:firstLineChars="0"/>
        <w:jc w:val="left"/>
        <w:rPr>
          <w:rFonts w:hint="eastAsia" w:ascii="宋体" w:hAnsi="宋体" w:eastAsia="宋体" w:cs="宋体"/>
          <w:color w:val="auto"/>
          <w:sz w:val="24"/>
          <w:szCs w:val="24"/>
          <w:lang w:val="en-US"/>
        </w:rPr>
      </w:pPr>
      <w:r>
        <w:rPr>
          <w:rFonts w:hint="eastAsia" w:ascii="宋体" w:hAnsi="宋体" w:eastAsia="宋体" w:cs="宋体"/>
          <w:b w:val="0"/>
          <w:bCs w:val="0"/>
          <w:color w:val="auto"/>
          <w:sz w:val="24"/>
          <w:szCs w:val="24"/>
          <w:lang w:val="en-US" w:eastAsia="zh-CN"/>
        </w:rPr>
        <w:t>2、</w:t>
      </w:r>
      <w:bookmarkStart w:id="53" w:name="OLE_LINK12"/>
      <w:r>
        <w:rPr>
          <w:rFonts w:hint="eastAsia" w:ascii="宋体" w:hAnsi="宋体" w:eastAsia="宋体" w:cs="宋体"/>
          <w:b w:val="0"/>
          <w:bCs w:val="0"/>
          <w:color w:val="auto"/>
          <w:sz w:val="24"/>
          <w:szCs w:val="24"/>
          <w:lang w:val="en-US" w:eastAsia="zh-CN"/>
        </w:rPr>
        <w:t>由供应商提供符合要求且签章齐备的相应阶段成果文件3份及电子文件，</w:t>
      </w:r>
      <w:r>
        <w:rPr>
          <w:rFonts w:hint="eastAsia" w:ascii="宋体" w:hAnsi="宋体" w:cs="宋体"/>
          <w:b w:val="0"/>
          <w:bCs w:val="0"/>
          <w:color w:val="auto"/>
          <w:sz w:val="24"/>
          <w:szCs w:val="24"/>
          <w:lang w:val="en-US" w:eastAsia="zh-CN"/>
        </w:rPr>
        <w:t>并</w:t>
      </w:r>
      <w:r>
        <w:rPr>
          <w:rFonts w:hint="eastAsia" w:ascii="宋体" w:hAnsi="宋体" w:eastAsia="宋体" w:cs="宋体"/>
          <w:b w:val="0"/>
          <w:bCs w:val="0"/>
          <w:color w:val="auto"/>
          <w:sz w:val="24"/>
          <w:szCs w:val="24"/>
          <w:lang w:val="en-US" w:eastAsia="zh-CN"/>
        </w:rPr>
        <w:t>提交主管部门审核、组织专家评审（承担相应专家费用），</w:t>
      </w:r>
      <w:r>
        <w:rPr>
          <w:rFonts w:hint="eastAsia" w:ascii="宋体" w:hAnsi="宋体" w:cs="宋体"/>
          <w:b w:val="0"/>
          <w:bCs w:val="0"/>
          <w:color w:val="auto"/>
          <w:sz w:val="24"/>
          <w:szCs w:val="24"/>
          <w:lang w:val="en-US" w:eastAsia="zh-CN"/>
        </w:rPr>
        <w:t>最终</w:t>
      </w:r>
      <w:r>
        <w:rPr>
          <w:rFonts w:hint="eastAsia" w:ascii="宋体" w:hAnsi="宋体" w:eastAsia="宋体" w:cs="宋体"/>
          <w:b w:val="0"/>
          <w:bCs w:val="0"/>
          <w:color w:val="auto"/>
          <w:sz w:val="24"/>
          <w:szCs w:val="24"/>
          <w:lang w:val="en-US" w:eastAsia="zh-CN"/>
        </w:rPr>
        <w:t>获得主管部门出具的相应批复文件</w:t>
      </w:r>
      <w:r>
        <w:rPr>
          <w:rFonts w:hint="eastAsia" w:ascii="宋体" w:hAnsi="宋体" w:eastAsia="宋体" w:cs="宋体"/>
          <w:color w:val="auto"/>
          <w:sz w:val="24"/>
          <w:szCs w:val="24"/>
          <w:lang w:val="en-US" w:eastAsia="zh-CN"/>
        </w:rPr>
        <w:t>。</w:t>
      </w:r>
      <w:bookmarkEnd w:id="53"/>
    </w:p>
    <w:p>
      <w:pPr>
        <w:outlineLvl w:val="1"/>
        <w:rPr>
          <w:rFonts w:hint="eastAsia" w:ascii="宋体" w:hAnsi="宋体"/>
          <w:b/>
          <w:color w:val="auto"/>
          <w:sz w:val="32"/>
          <w:highlight w:val="none"/>
        </w:rPr>
      </w:pPr>
      <w:bookmarkStart w:id="54" w:name="_Toc91771162"/>
      <w:bookmarkStart w:id="55" w:name="_Toc27476"/>
      <w:r>
        <w:rPr>
          <w:rFonts w:hint="eastAsia" w:ascii="宋体" w:hAnsi="宋体"/>
          <w:b/>
          <w:color w:val="auto"/>
          <w:sz w:val="32"/>
          <w:highlight w:val="none"/>
          <w:lang w:val="en-US" w:eastAsia="zh-CN"/>
        </w:rPr>
        <w:t>四</w:t>
      </w:r>
      <w:r>
        <w:rPr>
          <w:rFonts w:hint="eastAsia" w:ascii="宋体" w:hAnsi="宋体"/>
          <w:b/>
          <w:color w:val="auto"/>
          <w:sz w:val="32"/>
          <w:highlight w:val="none"/>
        </w:rPr>
        <w:t>、商务要求</w:t>
      </w:r>
      <w:bookmarkEnd w:id="54"/>
      <w:bookmarkEnd w:id="55"/>
    </w:p>
    <w:p>
      <w:pPr>
        <w:widowControl/>
        <w:spacing w:before="0" w:beforeLines="-2147483648" w:after="0" w:afterLines="-2147483648" w:line="400" w:lineRule="exact"/>
        <w:ind w:firstLine="360" w:firstLineChars="200"/>
        <w:jc w:val="left"/>
        <w:outlineLvl w:val="9"/>
        <w:rPr>
          <w:rFonts w:hint="eastAsia" w:ascii="宋体" w:hAnsi="宋体" w:eastAsia="宋体" w:cs="宋体"/>
          <w:color w:val="auto"/>
          <w:sz w:val="24"/>
          <w:szCs w:val="24"/>
          <w:lang w:val="zh-CN" w:eastAsia="zh-CN"/>
        </w:rPr>
      </w:pPr>
      <w:r>
        <w:rPr>
          <w:rFonts w:hint="eastAsia" w:eastAsia="方正仿宋简体"/>
          <w:color w:val="auto"/>
          <w:sz w:val="18"/>
          <w:szCs w:val="18"/>
          <w:lang w:val="en-US" w:eastAsia="zh-CN"/>
        </w:rPr>
        <w:t xml:space="preserve"> </w:t>
      </w:r>
      <w:r>
        <w:rPr>
          <w:rFonts w:hint="eastAsia" w:ascii="宋体" w:hAnsi="宋体" w:eastAsia="宋体" w:cs="宋体"/>
          <w:color w:val="auto"/>
          <w:sz w:val="24"/>
          <w:szCs w:val="24"/>
          <w:lang w:val="zh-CN" w:eastAsia="zh-CN"/>
        </w:rPr>
        <w:t>1、</w:t>
      </w:r>
      <w:bookmarkStart w:id="56" w:name="OLE_LINK16"/>
      <w:r>
        <w:rPr>
          <w:rFonts w:hint="eastAsia" w:ascii="宋体" w:hAnsi="宋体" w:eastAsia="宋体" w:cs="宋体"/>
          <w:color w:val="auto"/>
          <w:sz w:val="24"/>
          <w:szCs w:val="24"/>
          <w:lang w:val="zh-CN" w:eastAsia="zh-CN"/>
        </w:rPr>
        <w:t>供应商将入河排污口论证报告（含监测）、环境影响评价报告表（含监测）编制完成并取得相应批复文件，</w:t>
      </w:r>
      <w:r>
        <w:rPr>
          <w:rFonts w:hint="eastAsia" w:ascii="宋体" w:hAnsi="宋体" w:cs="宋体"/>
          <w:color w:val="auto"/>
          <w:sz w:val="24"/>
          <w:szCs w:val="24"/>
          <w:lang w:val="zh-CN" w:eastAsia="zh-CN"/>
        </w:rPr>
        <w:t>支付该阶段编制费用</w:t>
      </w:r>
      <w:r>
        <w:rPr>
          <w:rFonts w:hint="eastAsia" w:ascii="宋体" w:hAnsi="宋体" w:eastAsia="宋体" w:cs="宋体"/>
          <w:color w:val="auto"/>
          <w:sz w:val="24"/>
          <w:szCs w:val="24"/>
          <w:lang w:val="zh-CN" w:eastAsia="zh-CN"/>
        </w:rPr>
        <w:t>；供应商完成环境保护竣工验收报告（含监测）并取得相应批复文件，</w:t>
      </w:r>
      <w:r>
        <w:rPr>
          <w:rFonts w:hint="eastAsia" w:ascii="宋体" w:hAnsi="宋体" w:cs="宋体"/>
          <w:color w:val="auto"/>
          <w:sz w:val="24"/>
          <w:szCs w:val="24"/>
          <w:lang w:val="zh-CN" w:eastAsia="zh-CN"/>
        </w:rPr>
        <w:t>支付该阶段验收费用</w:t>
      </w:r>
      <w:r>
        <w:rPr>
          <w:rFonts w:hint="eastAsia" w:ascii="宋体" w:hAnsi="宋体" w:eastAsia="宋体" w:cs="宋体"/>
          <w:color w:val="auto"/>
          <w:sz w:val="24"/>
          <w:szCs w:val="24"/>
          <w:lang w:val="zh-CN" w:eastAsia="zh-CN"/>
        </w:rPr>
        <w:t>。每次付款前供应商应当开具等额、有效的增值税专用发票，否则，采购人可迟延支付服务费用并不承担逾期支付的违约责任。</w:t>
      </w:r>
      <w:bookmarkEnd w:id="56"/>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2、服务时间：</w:t>
      </w:r>
      <w:r>
        <w:rPr>
          <w:rFonts w:hint="eastAsia"/>
          <w:color w:val="auto"/>
          <w:sz w:val="24"/>
          <w:szCs w:val="24"/>
          <w:highlight w:val="none"/>
          <w:lang w:val="en-US" w:eastAsia="zh-CN"/>
        </w:rPr>
        <w:t>合同签订后20个日历日完成入河排污口论证报告（含监测）、环境影响评价报告表（含监测）编制后提交主管部门进行审核并取得相应批复，项目竣工验收后25个日历日完成环境保护竣工验收报告（含监测）编制并提交主管部门进行审核，最终取得相应批复文件。</w:t>
      </w:r>
    </w:p>
    <w:p>
      <w:pPr>
        <w:spacing w:before="120" w:beforeLines="50" w:after="360" w:afterLines="150"/>
        <w:jc w:val="left"/>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57" w:name="_Toc6383"/>
      <w:bookmarkStart w:id="58" w:name="_Toc91771163"/>
      <w:r>
        <w:rPr>
          <w:rFonts w:hint="eastAsia" w:ascii="黑体" w:hAnsi="宋体" w:eastAsia="黑体"/>
          <w:b/>
          <w:bCs/>
          <w:color w:val="auto"/>
          <w:sz w:val="32"/>
          <w:szCs w:val="32"/>
          <w:highlight w:val="none"/>
          <w:lang w:val="en-US" w:eastAsia="zh-CN"/>
        </w:rPr>
        <w:t xml:space="preserve">              </w:t>
      </w:r>
      <w:r>
        <w:rPr>
          <w:rFonts w:hint="eastAsia" w:ascii="黑体" w:hAnsi="黑体" w:eastAsia="黑体"/>
          <w:color w:val="auto"/>
          <w:sz w:val="36"/>
          <w:highlight w:val="none"/>
        </w:rPr>
        <w:t>第四章 响应文件格式</w:t>
      </w:r>
      <w:bookmarkEnd w:id="57"/>
      <w:bookmarkEnd w:id="58"/>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 xml:space="preserve">XYCG【2025】  </w:t>
      </w:r>
      <w:r>
        <w:rPr>
          <w:rFonts w:hint="eastAsia" w:ascii="宋体"/>
          <w:b/>
          <w:color w:val="auto"/>
          <w:sz w:val="32"/>
          <w:szCs w:val="32"/>
          <w:highlight w:val="none"/>
        </w:rPr>
        <w:t>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2"/>
        <w:rPr>
          <w:rFonts w:hint="eastAsia"/>
          <w:color w:val="auto"/>
          <w:highlight w:val="none"/>
        </w:rPr>
      </w:pPr>
    </w:p>
    <w:p>
      <w:pPr>
        <w:pStyle w:val="26"/>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26"/>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6"/>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9" w:name="_Toc91771164"/>
      <w:bookmarkStart w:id="60" w:name="_Toc28811"/>
      <w:r>
        <w:rPr>
          <w:rFonts w:hint="eastAsia" w:ascii="黑体" w:hAnsi="黑体" w:eastAsia="黑体" w:cs="Arial"/>
          <w:bCs/>
          <w:color w:val="auto"/>
          <w:sz w:val="32"/>
          <w:szCs w:val="32"/>
          <w:highlight w:val="none"/>
        </w:rPr>
        <w:t>一、报价函</w:t>
      </w:r>
      <w:bookmarkEnd w:id="59"/>
      <w:bookmarkEnd w:id="60"/>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0</w:t>
      </w:r>
      <w:r>
        <w:rPr>
          <w:color w:val="auto"/>
          <w:sz w:val="24"/>
          <w:highlight w:val="none"/>
        </w:rPr>
        <w:t>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含税，税率</w:t>
      </w:r>
      <w:r>
        <w:rPr>
          <w:rFonts w:hint="eastAsia"/>
          <w:color w:val="auto"/>
          <w:sz w:val="24"/>
          <w:highlight w:val="none"/>
          <w:u w:val="single"/>
          <w:lang w:val="en-US" w:eastAsia="zh-CN"/>
        </w:rPr>
        <w:t xml:space="preserve">    </w:t>
      </w:r>
      <w:r>
        <w:rPr>
          <w:rFonts w:hint="eastAsia"/>
          <w:color w:val="auto"/>
          <w:sz w:val="24"/>
          <w:highlight w:val="none"/>
          <w:lang w:val="en-US" w:eastAsia="zh-CN"/>
        </w:rPr>
        <w:t>%）</w:t>
      </w:r>
      <w:r>
        <w:rPr>
          <w:color w:val="auto"/>
          <w:sz w:val="24"/>
          <w:highlight w:val="none"/>
        </w:rPr>
        <w:t>，报价有效期为询价文件规定的起算之日起90天。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8"/>
          <w:szCs w:val="28"/>
        </w:rPr>
      </w:pPr>
      <w:r>
        <w:rPr>
          <w:rFonts w:ascii="Times New Roman"/>
          <w:color w:val="auto"/>
          <w:sz w:val="24"/>
          <w:highlight w:val="none"/>
        </w:rPr>
        <w:t>8.服务期限(工期)：</w:t>
      </w:r>
      <w:r>
        <w:rPr>
          <w:rFonts w:hint="eastAsia"/>
          <w:color w:val="auto"/>
          <w:sz w:val="24"/>
          <w:szCs w:val="24"/>
          <w:highlight w:val="none"/>
          <w:lang w:val="en-US" w:eastAsia="zh-CN"/>
        </w:rPr>
        <w:t>合同签订后20个日历日完成入河排污口论证报告（含监测）、环境影响评价报告表（含监测）编制后提交主管部门进行审核并取得相应批复，项目竣工验收后25个日历日完成环境保护竣工验收报告（含监测）编制并提交主管部门进行审核，最终取得相应批复文件。</w:t>
      </w:r>
    </w:p>
    <w:p>
      <w:pPr>
        <w:pStyle w:val="9"/>
        <w:autoSpaceDE/>
        <w:autoSpaceDN/>
        <w:adjustRightInd/>
        <w:spacing w:line="360" w:lineRule="auto"/>
        <w:ind w:firstLine="480" w:firstLineChars="200"/>
        <w:jc w:val="left"/>
        <w:rPr>
          <w:rFonts w:ascii="Times New Roman"/>
          <w:bCs/>
          <w:color w:val="auto"/>
          <w:sz w:val="24"/>
          <w:highlight w:val="none"/>
        </w:rPr>
      </w:pPr>
    </w:p>
    <w:p>
      <w:pPr>
        <w:adjustRightInd w:val="0"/>
        <w:spacing w:line="360" w:lineRule="auto"/>
        <w:ind w:firstLine="0" w:firstLineChars="0"/>
        <w:jc w:val="left"/>
        <w:rPr>
          <w:color w:val="auto"/>
          <w:sz w:val="24"/>
          <w:highlight w:val="none"/>
        </w:rPr>
      </w:pPr>
      <w:r>
        <w:rPr>
          <w:rFonts w:hint="eastAsia"/>
          <w:color w:val="auto"/>
          <w:sz w:val="24"/>
          <w:highlight w:val="none"/>
          <w:lang w:val="en-US" w:eastAsia="zh-CN"/>
        </w:rPr>
        <w:t xml:space="preserve">    </w:t>
      </w: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61" w:name="_Toc5379"/>
      <w:bookmarkStart w:id="62" w:name="_Toc91771165"/>
      <w:r>
        <w:rPr>
          <w:rFonts w:hint="eastAsia" w:ascii="黑体" w:hAnsi="黑体" w:eastAsia="黑体" w:cs="Arial"/>
          <w:bCs/>
          <w:color w:val="auto"/>
          <w:sz w:val="32"/>
          <w:szCs w:val="32"/>
          <w:highlight w:val="none"/>
        </w:rPr>
        <w:t>二、资格证明材料</w:t>
      </w:r>
      <w:bookmarkEnd w:id="61"/>
      <w:bookmarkEnd w:id="62"/>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pPr>
        <w:pStyle w:val="2"/>
        <w:rPr>
          <w:rFonts w:hint="eastAsia"/>
        </w:rPr>
      </w:pPr>
    </w:p>
    <w:p>
      <w:pPr>
        <w:pStyle w:val="2"/>
        <w:rPr>
          <w:rFonts w:hint="eastAsia"/>
        </w:rPr>
      </w:pPr>
    </w:p>
    <w:p>
      <w:pPr>
        <w:pStyle w:val="2"/>
        <w:rPr>
          <w:color w:val="auto"/>
          <w:highlight w:val="none"/>
        </w:rPr>
      </w:pPr>
    </w:p>
    <w:p>
      <w:pPr>
        <w:pStyle w:val="2"/>
        <w:rPr>
          <w:rFonts w:hint="eastAsia"/>
          <w:color w:val="auto"/>
          <w:highlight w:val="none"/>
        </w:rPr>
      </w:pPr>
    </w:p>
    <w:p>
      <w:pPr>
        <w:pStyle w:val="2"/>
        <w:rPr>
          <w:rFonts w:hint="eastAsia"/>
          <w:color w:val="auto"/>
          <w:highlight w:val="none"/>
        </w:rPr>
      </w:pPr>
    </w:p>
    <w:p>
      <w:pPr>
        <w:numPr>
          <w:ilvl w:val="0"/>
          <w:numId w:val="1"/>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63" w:name="_Toc10594"/>
      <w:bookmarkStart w:id="64"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63"/>
      <w:bookmarkEnd w:id="64"/>
    </w:p>
    <w:p>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24"/>
        <w:rPr>
          <w:rFonts w:hint="eastAsia" w:ascii="Times New Roman" w:hAnsi="Times New Roman" w:eastAsia="宋体" w:cs="Times New Roman"/>
          <w:color w:val="auto"/>
          <w:kern w:val="2"/>
          <w:sz w:val="24"/>
          <w:szCs w:val="24"/>
          <w:highlight w:val="none"/>
          <w:lang w:val="en-US" w:eastAsia="zh-CN" w:bidi="ar-SA"/>
        </w:rPr>
      </w:pPr>
      <w:bookmarkStart w:id="65" w:name="_Toc7132"/>
      <w:bookmarkStart w:id="66" w:name="_Toc20821"/>
      <w:bookmarkStart w:id="67" w:name="_Toc13402"/>
      <w:bookmarkStart w:id="68" w:name="_Toc1021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65"/>
      <w:bookmarkEnd w:id="66"/>
      <w:bookmarkEnd w:id="67"/>
      <w:bookmarkEnd w:id="68"/>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69" w:name="_Toc91771167"/>
      <w:bookmarkStart w:id="70" w:name="_Toc22235"/>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69"/>
      <w:bookmarkEnd w:id="70"/>
    </w:p>
    <w:p>
      <w:pPr>
        <w:spacing w:before="0" w:beforeLines="0" w:line="240" w:lineRule="auto"/>
        <w:rPr>
          <w:rFonts w:hint="eastAsia"/>
          <w:color w:val="auto"/>
          <w:sz w:val="24"/>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129" w:type="dxa"/>
            <w:vAlign w:val="center"/>
          </w:tcPr>
          <w:p>
            <w:pPr>
              <w:spacing w:before="0" w:beforeLines="0" w:line="24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项目名称</w:t>
            </w:r>
          </w:p>
        </w:tc>
        <w:tc>
          <w:tcPr>
            <w:tcW w:w="2130" w:type="dxa"/>
            <w:vAlign w:val="center"/>
          </w:tcPr>
          <w:p>
            <w:pPr>
              <w:spacing w:before="0" w:beforeLines="0" w:line="24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各项内容名称</w:t>
            </w:r>
          </w:p>
        </w:tc>
        <w:tc>
          <w:tcPr>
            <w:tcW w:w="2130" w:type="dxa"/>
            <w:vAlign w:val="center"/>
          </w:tcPr>
          <w:p>
            <w:pPr>
              <w:spacing w:before="0" w:beforeLines="0" w:line="24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报价（元）</w:t>
            </w:r>
          </w:p>
        </w:tc>
        <w:tc>
          <w:tcPr>
            <w:tcW w:w="2130" w:type="dxa"/>
            <w:vAlign w:val="center"/>
          </w:tcPr>
          <w:p>
            <w:pPr>
              <w:spacing w:before="0" w:beforeLines="0" w:line="240" w:lineRule="auto"/>
              <w:jc w:val="center"/>
              <w:rPr>
                <w:rFonts w:hint="default"/>
                <w:color w:val="auto"/>
                <w:sz w:val="24"/>
                <w:highlight w:val="none"/>
                <w:vertAlign w:val="baseline"/>
                <w:lang w:val="en-US" w:eastAsia="zh-CN"/>
              </w:rPr>
            </w:pPr>
            <w:r>
              <w:rPr>
                <w:rFonts w:hint="eastAsia"/>
                <w:color w:val="auto"/>
                <w:sz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129" w:type="dxa"/>
            <w:vMerge w:val="restart"/>
          </w:tcPr>
          <w:p>
            <w:pPr>
              <w:spacing w:before="0" w:beforeLines="0" w:line="240" w:lineRule="auto"/>
              <w:rPr>
                <w:rFonts w:hint="eastAsia"/>
                <w:color w:val="auto"/>
                <w:sz w:val="24"/>
                <w:highlight w:val="none"/>
                <w:lang w:val="en-US" w:eastAsia="zh-CN"/>
              </w:rPr>
            </w:pPr>
          </w:p>
          <w:p>
            <w:pPr>
              <w:spacing w:before="0" w:beforeLines="0" w:line="240" w:lineRule="auto"/>
              <w:rPr>
                <w:rFonts w:hint="eastAsia"/>
                <w:color w:val="auto"/>
                <w:sz w:val="24"/>
                <w:highlight w:val="none"/>
                <w:lang w:val="en-US" w:eastAsia="zh-CN"/>
              </w:rPr>
            </w:pPr>
          </w:p>
          <w:p>
            <w:pPr>
              <w:spacing w:before="0" w:beforeLines="0" w:line="240" w:lineRule="auto"/>
              <w:rPr>
                <w:rFonts w:hint="eastAsia"/>
                <w:color w:val="auto"/>
                <w:sz w:val="24"/>
                <w:highlight w:val="none"/>
                <w:vertAlign w:val="baseline"/>
              </w:rPr>
            </w:pPr>
            <w:r>
              <w:rPr>
                <w:rFonts w:hint="eastAsia"/>
                <w:color w:val="auto"/>
                <w:sz w:val="24"/>
                <w:highlight w:val="none"/>
                <w:lang w:val="en-US" w:eastAsia="zh-CN"/>
              </w:rPr>
              <w:t>2021年泸州市江阳区城镇污水处理设施提质增效项目环境影响评价、环境保护竣工验收、入河排污口论证服务采购</w:t>
            </w:r>
          </w:p>
        </w:tc>
        <w:tc>
          <w:tcPr>
            <w:tcW w:w="2130" w:type="dxa"/>
          </w:tcPr>
          <w:p>
            <w:pPr>
              <w:spacing w:before="0" w:beforeLines="0" w:line="240" w:lineRule="auto"/>
              <w:rPr>
                <w:rFonts w:hint="eastAsia"/>
                <w:color w:val="auto"/>
                <w:sz w:val="24"/>
                <w:highlight w:val="none"/>
                <w:vertAlign w:val="baseline"/>
              </w:rPr>
            </w:pPr>
            <w:r>
              <w:rPr>
                <w:rFonts w:hint="eastAsia" w:ascii="宋体" w:hAnsi="宋体" w:eastAsia="宋体" w:cs="宋体"/>
                <w:b w:val="0"/>
                <w:bCs w:val="0"/>
                <w:color w:val="auto"/>
                <w:kern w:val="0"/>
                <w:sz w:val="24"/>
                <w:szCs w:val="24"/>
                <w:lang w:val="en-US" w:eastAsia="zh-CN"/>
              </w:rPr>
              <w:t>入河排污口论证报告（含监测）</w:t>
            </w:r>
          </w:p>
        </w:tc>
        <w:tc>
          <w:tcPr>
            <w:tcW w:w="2130" w:type="dxa"/>
          </w:tcPr>
          <w:p>
            <w:pPr>
              <w:spacing w:before="0" w:beforeLines="0" w:line="240" w:lineRule="auto"/>
              <w:rPr>
                <w:rFonts w:hint="eastAsia"/>
                <w:color w:val="auto"/>
                <w:sz w:val="24"/>
                <w:highlight w:val="none"/>
                <w:vertAlign w:val="baseline"/>
              </w:rPr>
            </w:pPr>
          </w:p>
        </w:tc>
        <w:tc>
          <w:tcPr>
            <w:tcW w:w="2130" w:type="dxa"/>
            <w:vMerge w:val="restart"/>
          </w:tcPr>
          <w:p>
            <w:pPr>
              <w:spacing w:before="0" w:beforeLines="0" w:line="240" w:lineRule="auto"/>
              <w:rPr>
                <w:rFonts w:hint="eastAsia"/>
                <w:color w:val="auto"/>
                <w:sz w:val="24"/>
                <w:highlight w:val="none"/>
                <w:vertAlign w:val="baseline"/>
                <w:lang w:val="en-US" w:eastAsia="zh-CN"/>
              </w:rPr>
            </w:pPr>
          </w:p>
          <w:p>
            <w:pPr>
              <w:spacing w:before="0" w:beforeLines="0" w:line="240" w:lineRule="auto"/>
              <w:rPr>
                <w:rFonts w:hint="eastAsia"/>
                <w:color w:val="auto"/>
                <w:sz w:val="24"/>
                <w:highlight w:val="none"/>
                <w:vertAlign w:val="baseline"/>
                <w:lang w:val="en-US" w:eastAsia="zh-CN"/>
              </w:rPr>
            </w:pPr>
          </w:p>
          <w:p>
            <w:pPr>
              <w:spacing w:before="0" w:beforeLines="0" w:line="240" w:lineRule="auto"/>
              <w:rPr>
                <w:rFonts w:hint="eastAsia"/>
                <w:color w:val="auto"/>
                <w:sz w:val="24"/>
                <w:highlight w:val="none"/>
                <w:vertAlign w:val="baseline"/>
                <w:lang w:val="en-US" w:eastAsia="zh-CN"/>
              </w:rPr>
            </w:pPr>
          </w:p>
          <w:p>
            <w:pPr>
              <w:spacing w:before="0" w:beforeLines="0" w:line="240" w:lineRule="auto"/>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含取得各项</w:t>
            </w:r>
            <w:r>
              <w:rPr>
                <w:rFonts w:hint="eastAsia" w:ascii="宋体" w:hAnsi="宋体" w:eastAsia="宋体" w:cs="宋体"/>
                <w:color w:val="auto"/>
                <w:sz w:val="24"/>
                <w:szCs w:val="24"/>
                <w:lang w:val="zh-CN" w:eastAsia="zh-CN"/>
              </w:rPr>
              <w:t>相应批复文件</w:t>
            </w:r>
            <w:r>
              <w:rPr>
                <w:rFonts w:hint="eastAsia" w:ascii="宋体" w:hAnsi="宋体" w:cs="宋体"/>
                <w:color w:val="auto"/>
                <w:sz w:val="24"/>
                <w:szCs w:val="24"/>
                <w:lang w:val="en-US" w:eastAsia="zh-CN"/>
              </w:rPr>
              <w:t>的</w:t>
            </w:r>
            <w:r>
              <w:rPr>
                <w:rFonts w:hint="eastAsia"/>
                <w:color w:val="auto"/>
                <w:sz w:val="24"/>
                <w:highlight w:val="none"/>
                <w:vertAlign w:val="baseline"/>
                <w:lang w:val="en-US" w:eastAsia="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29" w:type="dxa"/>
            <w:vMerge w:val="continue"/>
          </w:tcPr>
          <w:p>
            <w:pPr>
              <w:spacing w:before="0" w:beforeLines="0" w:line="240" w:lineRule="auto"/>
              <w:rPr>
                <w:rFonts w:hint="eastAsia"/>
                <w:color w:val="auto"/>
                <w:sz w:val="24"/>
                <w:highlight w:val="none"/>
                <w:vertAlign w:val="baseline"/>
              </w:rPr>
            </w:pPr>
          </w:p>
        </w:tc>
        <w:tc>
          <w:tcPr>
            <w:tcW w:w="2130" w:type="dxa"/>
          </w:tcPr>
          <w:p>
            <w:pPr>
              <w:spacing w:before="0" w:beforeLines="0" w:line="240" w:lineRule="auto"/>
              <w:rPr>
                <w:rFonts w:hint="eastAsia"/>
                <w:color w:val="auto"/>
                <w:sz w:val="24"/>
                <w:highlight w:val="none"/>
                <w:vertAlign w:val="baseline"/>
              </w:rPr>
            </w:pPr>
            <w:r>
              <w:rPr>
                <w:rFonts w:hint="eastAsia" w:ascii="宋体" w:hAnsi="宋体" w:eastAsia="宋体" w:cs="宋体"/>
                <w:b w:val="0"/>
                <w:bCs w:val="0"/>
                <w:color w:val="auto"/>
                <w:kern w:val="0"/>
                <w:sz w:val="24"/>
                <w:szCs w:val="24"/>
                <w:lang w:val="en-US" w:eastAsia="zh-CN"/>
              </w:rPr>
              <w:t>环境影响评价报告表（含监测）</w:t>
            </w:r>
          </w:p>
        </w:tc>
        <w:tc>
          <w:tcPr>
            <w:tcW w:w="2130" w:type="dxa"/>
          </w:tcPr>
          <w:p>
            <w:pPr>
              <w:spacing w:before="0" w:beforeLines="0" w:line="240" w:lineRule="auto"/>
              <w:rPr>
                <w:rFonts w:hint="eastAsia"/>
                <w:color w:val="auto"/>
                <w:sz w:val="24"/>
                <w:highlight w:val="none"/>
                <w:vertAlign w:val="baseline"/>
              </w:rPr>
            </w:pPr>
          </w:p>
        </w:tc>
        <w:tc>
          <w:tcPr>
            <w:tcW w:w="2130" w:type="dxa"/>
            <w:vMerge w:val="continue"/>
          </w:tcPr>
          <w:p>
            <w:pPr>
              <w:spacing w:before="0" w:beforeLines="0" w:line="240" w:lineRule="auto"/>
              <w:rPr>
                <w:rFonts w:hint="eastAsia"/>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129" w:type="dxa"/>
            <w:vMerge w:val="continue"/>
          </w:tcPr>
          <w:p>
            <w:pPr>
              <w:spacing w:before="0" w:beforeLines="0" w:line="240" w:lineRule="auto"/>
              <w:rPr>
                <w:rFonts w:hint="eastAsia"/>
                <w:color w:val="auto"/>
                <w:sz w:val="24"/>
                <w:highlight w:val="none"/>
                <w:vertAlign w:val="baseline"/>
              </w:rPr>
            </w:pPr>
          </w:p>
        </w:tc>
        <w:tc>
          <w:tcPr>
            <w:tcW w:w="2130" w:type="dxa"/>
          </w:tcPr>
          <w:p>
            <w:pPr>
              <w:spacing w:before="0" w:beforeLines="0" w:line="240" w:lineRule="auto"/>
              <w:rPr>
                <w:rFonts w:hint="eastAsia"/>
                <w:color w:val="auto"/>
                <w:sz w:val="24"/>
                <w:highlight w:val="none"/>
                <w:vertAlign w:val="baseline"/>
              </w:rPr>
            </w:pPr>
            <w:r>
              <w:rPr>
                <w:rFonts w:hint="eastAsia" w:ascii="宋体" w:hAnsi="宋体" w:eastAsia="宋体" w:cs="宋体"/>
                <w:b w:val="0"/>
                <w:bCs w:val="0"/>
                <w:color w:val="auto"/>
                <w:kern w:val="0"/>
                <w:sz w:val="24"/>
                <w:szCs w:val="24"/>
                <w:lang w:val="en-US" w:eastAsia="zh-CN"/>
              </w:rPr>
              <w:t>环境保护竣工验收报告（含监测）</w:t>
            </w:r>
          </w:p>
        </w:tc>
        <w:tc>
          <w:tcPr>
            <w:tcW w:w="2130" w:type="dxa"/>
          </w:tcPr>
          <w:p>
            <w:pPr>
              <w:spacing w:before="0" w:beforeLines="0" w:line="240" w:lineRule="auto"/>
              <w:rPr>
                <w:rFonts w:hint="eastAsia"/>
                <w:color w:val="auto"/>
                <w:sz w:val="24"/>
                <w:highlight w:val="none"/>
                <w:vertAlign w:val="baseline"/>
              </w:rPr>
            </w:pPr>
          </w:p>
        </w:tc>
        <w:tc>
          <w:tcPr>
            <w:tcW w:w="2130" w:type="dxa"/>
            <w:vMerge w:val="continue"/>
          </w:tcPr>
          <w:p>
            <w:pPr>
              <w:spacing w:before="0" w:beforeLines="0" w:line="240" w:lineRule="auto"/>
              <w:rPr>
                <w:rFonts w:hint="eastAsia"/>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129" w:type="dxa"/>
            <w:vMerge w:val="continue"/>
          </w:tcPr>
          <w:p>
            <w:pPr>
              <w:spacing w:before="0" w:beforeLines="0" w:line="240" w:lineRule="auto"/>
              <w:rPr>
                <w:rFonts w:hint="eastAsia"/>
                <w:color w:val="auto"/>
                <w:sz w:val="24"/>
                <w:highlight w:val="none"/>
                <w:vertAlign w:val="baseline"/>
              </w:rPr>
            </w:pPr>
          </w:p>
        </w:tc>
        <w:tc>
          <w:tcPr>
            <w:tcW w:w="6390" w:type="dxa"/>
            <w:gridSpan w:val="3"/>
          </w:tcPr>
          <w:p>
            <w:pPr>
              <w:spacing w:before="0" w:beforeLines="0" w:line="240" w:lineRule="auto"/>
              <w:rPr>
                <w:rFonts w:hint="eastAsia"/>
                <w:color w:val="auto"/>
                <w:sz w:val="24"/>
                <w:highlight w:val="none"/>
                <w:vertAlign w:val="baseline"/>
                <w:lang w:val="en-US" w:eastAsia="zh-CN"/>
              </w:rPr>
            </w:pPr>
            <w:r>
              <w:rPr>
                <w:rFonts w:hint="eastAsia"/>
                <w:color w:val="auto"/>
                <w:sz w:val="24"/>
                <w:highlight w:val="none"/>
                <w:vertAlign w:val="baseline"/>
                <w:lang w:val="en-US" w:eastAsia="zh-CN"/>
              </w:rPr>
              <w:t xml:space="preserve">      </w:t>
            </w:r>
          </w:p>
          <w:p>
            <w:pPr>
              <w:spacing w:before="0" w:beforeLines="0" w:line="240" w:lineRule="auto"/>
              <w:ind w:firstLine="1200" w:firstLineChars="500"/>
              <w:rPr>
                <w:rFonts w:hint="eastAsia"/>
                <w:color w:val="auto"/>
                <w:sz w:val="24"/>
                <w:highlight w:val="none"/>
                <w:vertAlign w:val="baseline"/>
                <w:lang w:val="en-US" w:eastAsia="zh-CN"/>
              </w:rPr>
            </w:pPr>
            <w:r>
              <w:rPr>
                <w:rFonts w:hint="eastAsia"/>
                <w:color w:val="auto"/>
                <w:sz w:val="24"/>
                <w:highlight w:val="none"/>
                <w:vertAlign w:val="baseline"/>
                <w:lang w:val="en-US" w:eastAsia="zh-CN"/>
              </w:rPr>
              <w:t>合计：</w:t>
            </w:r>
            <w:r>
              <w:rPr>
                <w:rFonts w:hint="eastAsia"/>
                <w:color w:val="auto"/>
                <w:sz w:val="24"/>
                <w:highlight w:val="none"/>
                <w:u w:val="single"/>
                <w:vertAlign w:val="baseline"/>
                <w:lang w:val="en-US" w:eastAsia="zh-CN"/>
              </w:rPr>
              <w:t xml:space="preserve">          </w:t>
            </w:r>
            <w:r>
              <w:rPr>
                <w:rFonts w:hint="eastAsia"/>
                <w:color w:val="auto"/>
                <w:sz w:val="24"/>
                <w:highlight w:val="none"/>
                <w:vertAlign w:val="baseline"/>
                <w:lang w:val="en-US" w:eastAsia="zh-CN"/>
              </w:rPr>
              <w:t>元（含税，税率   %）</w:t>
            </w:r>
          </w:p>
        </w:tc>
      </w:tr>
    </w:tbl>
    <w:p>
      <w:pPr>
        <w:spacing w:before="0" w:beforeLines="0" w:line="240" w:lineRule="auto"/>
        <w:rPr>
          <w:rFonts w:hint="eastAsia"/>
          <w:color w:val="auto"/>
          <w:sz w:val="24"/>
          <w:highlight w:val="none"/>
        </w:rPr>
      </w:pPr>
    </w:p>
    <w:p>
      <w:pPr>
        <w:spacing w:before="0" w:beforeLines="0" w:line="240" w:lineRule="auto"/>
        <w:rPr>
          <w:rFonts w:ascii="宋体" w:hAnsi="宋体"/>
          <w:sz w:val="24"/>
          <w:szCs w:val="24"/>
          <w:highlight w:val="none"/>
        </w:rPr>
      </w:pPr>
      <w:r>
        <w:rPr>
          <w:rFonts w:hint="eastAsia"/>
          <w:color w:val="auto"/>
          <w:sz w:val="24"/>
          <w:highlight w:val="none"/>
        </w:rPr>
        <w:t>注</w:t>
      </w:r>
      <w:r>
        <w:rPr>
          <w:color w:val="auto"/>
          <w:sz w:val="24"/>
          <w:highlight w:val="none"/>
        </w:rPr>
        <w:t>:</w:t>
      </w:r>
      <w:r>
        <w:rPr>
          <w:rFonts w:hint="eastAsia" w:ascii="宋体" w:hAnsi="宋体" w:eastAsia="宋体" w:cs="宋体"/>
          <w:sz w:val="24"/>
          <w:highlight w:val="none"/>
        </w:rPr>
        <w:t>1.</w:t>
      </w:r>
      <w:r>
        <w:rPr>
          <w:rFonts w:hint="eastAsia" w:ascii="宋体" w:hAnsi="宋体" w:eastAsia="宋体" w:cs="宋体"/>
          <w:color w:val="000000"/>
          <w:sz w:val="24"/>
          <w:szCs w:val="24"/>
          <w:highlight w:val="none"/>
        </w:rPr>
        <w:t>所有报价均用人民币表示，所报</w:t>
      </w:r>
      <w:r>
        <w:rPr>
          <w:rFonts w:hint="eastAsia" w:ascii="宋体" w:hAnsi="宋体" w:cs="宋体"/>
          <w:color w:val="000000"/>
          <w:sz w:val="24"/>
          <w:szCs w:val="24"/>
          <w:highlight w:val="none"/>
          <w:lang w:val="en-US" w:eastAsia="zh-CN"/>
        </w:rPr>
        <w:t>总</w:t>
      </w:r>
      <w:r>
        <w:rPr>
          <w:rFonts w:hint="eastAsia" w:ascii="宋体" w:hAnsi="宋体" w:eastAsia="宋体" w:cs="宋体"/>
          <w:color w:val="000000"/>
          <w:sz w:val="24"/>
          <w:szCs w:val="24"/>
          <w:highlight w:val="none"/>
        </w:rPr>
        <w:t>价是包干价即包括但不限于</w:t>
      </w:r>
      <w:r>
        <w:rPr>
          <w:rFonts w:ascii="宋体" w:hAnsi="宋体" w:eastAsia="宋体" w:cs="宋体"/>
          <w:sz w:val="24"/>
          <w:szCs w:val="24"/>
        </w:rPr>
        <w:t>人工费、现场踏勘费、报告编制费、材料费、配合报建、指导、风险费、评审会务费、专家评审费、监测费、保险、合理利润、增值税（提供增值税专用发票</w:t>
      </w:r>
      <w:r>
        <w:rPr>
          <w:rFonts w:hint="eastAsia" w:ascii="宋体" w:hAnsi="宋体" w:eastAsia="宋体" w:cs="宋体"/>
          <w:color w:val="000000"/>
          <w:sz w:val="24"/>
          <w:szCs w:val="24"/>
          <w:highlight w:val="none"/>
        </w:rPr>
        <w:t>等完成本项目所需的一切费用。</w:t>
      </w:r>
    </w:p>
    <w:p>
      <w:pPr>
        <w:numPr>
          <w:ilvl w:val="0"/>
          <w:numId w:val="0"/>
        </w:numPr>
        <w:adjustRightInd w:val="0"/>
        <w:spacing w:beforeLines="0" w:line="240" w:lineRule="auto"/>
        <w:ind w:firstLine="240" w:firstLineChars="100"/>
        <w:jc w:val="left"/>
        <w:rPr>
          <w:rFonts w:hint="eastAsia"/>
          <w:color w:val="auto"/>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报价保留0位小数（不作废标处理）。</w:t>
      </w:r>
    </w:p>
    <w:p>
      <w:pPr>
        <w:spacing w:line="360" w:lineRule="auto"/>
        <w:ind w:firstLine="480" w:firstLineChars="200"/>
        <w:jc w:val="left"/>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71" w:name="_Toc91771168"/>
      <w:bookmarkStart w:id="72" w:name="_Toc1920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71"/>
      <w:bookmarkEnd w:id="72"/>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eastAsia="宋体"/>
          <w:color w:val="auto"/>
          <w:sz w:val="24"/>
          <w:highlight w:val="none"/>
          <w:lang w:val="en-US" w:eastAsia="zh-CN"/>
        </w:rPr>
      </w:pPr>
      <w:r>
        <w:rPr>
          <w:rFonts w:hint="eastAsia"/>
          <w:color w:val="auto"/>
          <w:sz w:val="24"/>
          <w:highlight w:val="none"/>
        </w:rPr>
        <w:t>（七）根据采购项目提出的特殊条件：</w:t>
      </w:r>
      <w:r>
        <w:rPr>
          <w:rFonts w:hint="eastAsia"/>
          <w:color w:val="auto"/>
          <w:sz w:val="24"/>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20" w:beforeLines="50" w:after="360" w:afterLines="150" w:line="40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73" w:name="_Toc91771169"/>
      <w:bookmarkStart w:id="74" w:name="_Toc10674"/>
      <w:bookmarkStart w:id="75" w:name="_Toc2900"/>
      <w:bookmarkStart w:id="76" w:name="_Toc2589"/>
      <w:bookmarkStart w:id="77" w:name="_Toc16489"/>
      <w:bookmarkStart w:id="78" w:name="_Toc30219"/>
      <w:bookmarkStart w:id="79" w:name="_Toc9917"/>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73"/>
      <w:bookmarkEnd w:id="74"/>
      <w:bookmarkEnd w:id="75"/>
      <w:bookmarkEnd w:id="76"/>
      <w:bookmarkEnd w:id="77"/>
      <w:bookmarkEnd w:id="78"/>
      <w:bookmarkEnd w:id="79"/>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80" w:name="_Toc7188"/>
      <w:bookmarkStart w:id="81" w:name="_Toc91771170"/>
      <w:r>
        <w:rPr>
          <w:rFonts w:hint="eastAsia" w:ascii="黑体" w:hAnsi="黑体" w:eastAsia="黑体" w:cs="Arial"/>
          <w:bCs/>
          <w:color w:val="auto"/>
          <w:sz w:val="32"/>
          <w:szCs w:val="32"/>
          <w:highlight w:val="none"/>
        </w:rPr>
        <w:t>七、供应商基本情况表</w:t>
      </w:r>
      <w:bookmarkEnd w:id="80"/>
      <w:bookmarkEnd w:id="81"/>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pPr>
    </w:p>
    <w:p>
      <w:pPr>
        <w:pStyle w:val="17"/>
        <w:rPr>
          <w:rFonts w:hint="eastAsia" w:ascii="宋体" w:hAnsi="宋体"/>
          <w:b/>
          <w:bCs/>
          <w:color w:val="auto"/>
          <w:sz w:val="28"/>
          <w:szCs w:val="28"/>
          <w:highlight w:val="none"/>
        </w:rPr>
      </w:pPr>
    </w:p>
    <w:p>
      <w:pPr>
        <w:pStyle w:val="17"/>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ind w:firstLine="640" w:firstLineChars="200"/>
        <w:jc w:val="both"/>
        <w:outlineLvl w:val="1"/>
        <w:rPr>
          <w:rFonts w:hint="eastAsia" w:ascii="黑体" w:hAnsi="黑体" w:eastAsia="黑体" w:cs="Arial"/>
          <w:bCs/>
          <w:color w:val="auto"/>
          <w:sz w:val="32"/>
          <w:szCs w:val="32"/>
          <w:highlight w:val="none"/>
          <w:lang w:val="en-US" w:eastAsia="zh-CN"/>
        </w:rPr>
      </w:pPr>
      <w:bookmarkStart w:id="82" w:name="_Toc6647"/>
      <w:bookmarkStart w:id="83" w:name="_Toc91771171"/>
      <w:r>
        <w:rPr>
          <w:rFonts w:hint="eastAsia" w:ascii="黑体" w:hAnsi="黑体" w:eastAsia="黑体" w:cs="Arial"/>
          <w:bCs/>
          <w:color w:val="auto"/>
          <w:sz w:val="32"/>
          <w:szCs w:val="32"/>
          <w:highlight w:val="none"/>
        </w:rPr>
        <w:t>八、供应商本项目管理、技术、服务人员情况表</w:t>
      </w:r>
      <w:bookmarkEnd w:id="82"/>
      <w:bookmarkEnd w:id="83"/>
      <w:r>
        <w:rPr>
          <w:rFonts w:hint="eastAsia" w:ascii="黑体" w:hAnsi="黑体" w:eastAsia="黑体" w:cs="Arial"/>
          <w:bCs/>
          <w:color w:val="auto"/>
          <w:sz w:val="32"/>
          <w:szCs w:val="32"/>
          <w:highlight w:val="none"/>
          <w:lang w:val="en-US" w:eastAsia="zh-CN"/>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r>
              <w:rPr>
                <w:rFonts w:hint="eastAsia"/>
                <w:b/>
                <w:color w:val="auto"/>
                <w:sz w:val="24"/>
                <w:highlight w:val="none"/>
                <w:lang w:eastAsia="zh-CN"/>
              </w:rPr>
              <w:t>，</w:t>
            </w:r>
            <w:r>
              <w:rPr>
                <w:rFonts w:hint="eastAsia"/>
                <w:b/>
                <w:color w:val="auto"/>
                <w:sz w:val="24"/>
                <w:highlight w:val="none"/>
                <w:lang w:val="en-US" w:eastAsia="zh-CN"/>
              </w:rPr>
              <w:t>如有</w:t>
            </w:r>
            <w:r>
              <w:rPr>
                <w:rFonts w:hint="eastAsia"/>
                <w:b/>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编制人员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6"/>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84" w:name="_Toc24739"/>
      <w:bookmarkStart w:id="85" w:name="_Toc91771172"/>
      <w:r>
        <w:rPr>
          <w:rFonts w:hint="eastAsia" w:ascii="黑体" w:hAnsi="黑体" w:eastAsia="黑体" w:cs="Arial"/>
          <w:bCs/>
          <w:color w:val="auto"/>
          <w:sz w:val="32"/>
          <w:szCs w:val="32"/>
          <w:highlight w:val="none"/>
        </w:rPr>
        <w:t>九、商务、技术、服务要求应答表</w:t>
      </w:r>
      <w:bookmarkEnd w:id="84"/>
      <w:bookmarkEnd w:id="85"/>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48"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47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b/>
                <w:color w:val="auto"/>
                <w:sz w:val="32"/>
                <w:highlight w:val="none"/>
              </w:rPr>
            </w:pPr>
            <w:r>
              <w:rPr>
                <w:rFonts w:hint="eastAsia" w:ascii="宋体" w:hAnsi="宋体"/>
                <w:b/>
                <w:color w:val="auto"/>
                <w:sz w:val="32"/>
                <w:highlight w:val="none"/>
              </w:rPr>
              <w:t>服务要求</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0"/>
                <w:sz w:val="24"/>
                <w:szCs w:val="24"/>
                <w:lang w:val="en-US" w:eastAsia="zh-CN"/>
              </w:rPr>
              <w:t>1、</w:t>
            </w:r>
            <w:r>
              <w:rPr>
                <w:rFonts w:hint="eastAsia" w:ascii="宋体" w:hAnsi="宋体" w:cs="宋体"/>
                <w:b w:val="0"/>
                <w:bCs w:val="0"/>
                <w:color w:val="auto"/>
                <w:kern w:val="0"/>
                <w:sz w:val="24"/>
                <w:szCs w:val="24"/>
                <w:lang w:val="en-US" w:eastAsia="zh-CN"/>
              </w:rPr>
              <w:t>包括但不限于完成项目入河排污口论证报告（含监测）涉及分水(扩建至800)、白马(扩建至1200)、中寨(扩建至400)、况场(新建400)四个场站；环境影响评价表（含监测）、环境保护竣工验收报告（含监测）涉及白马(1200)，并汇总所有场站环评情况附在白马环评表。分别取得相关主管部门批复。</w:t>
            </w:r>
          </w:p>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textAlignment w:val="auto"/>
              <w:rPr>
                <w:rFonts w:hint="default"/>
                <w:lang w:val="en-US" w:eastAsia="zh-CN"/>
              </w:rPr>
            </w:pPr>
            <w:r>
              <w:rPr>
                <w:rFonts w:hint="eastAsia" w:ascii="宋体" w:hAnsi="宋体" w:eastAsia="宋体" w:cs="宋体"/>
                <w:b w:val="0"/>
                <w:bCs w:val="0"/>
                <w:color w:val="auto"/>
                <w:sz w:val="24"/>
                <w:szCs w:val="24"/>
                <w:lang w:val="en-US" w:eastAsia="zh-CN"/>
              </w:rPr>
              <w:t>2、由供应商提供符合要求且签章齐备的相应阶段成果文件3份及电子文件，</w:t>
            </w:r>
            <w:r>
              <w:rPr>
                <w:rFonts w:hint="eastAsia" w:ascii="宋体" w:hAnsi="宋体" w:cs="宋体"/>
                <w:b w:val="0"/>
                <w:bCs w:val="0"/>
                <w:color w:val="auto"/>
                <w:sz w:val="24"/>
                <w:szCs w:val="24"/>
                <w:lang w:val="en-US" w:eastAsia="zh-CN"/>
              </w:rPr>
              <w:t>并</w:t>
            </w:r>
            <w:r>
              <w:rPr>
                <w:rFonts w:hint="eastAsia" w:ascii="宋体" w:hAnsi="宋体" w:eastAsia="宋体" w:cs="宋体"/>
                <w:b w:val="0"/>
                <w:bCs w:val="0"/>
                <w:color w:val="auto"/>
                <w:sz w:val="24"/>
                <w:szCs w:val="24"/>
                <w:lang w:val="en-US" w:eastAsia="zh-CN"/>
              </w:rPr>
              <w:t>提交主管部门审核、组织专家评审（承担相应专家费用），</w:t>
            </w:r>
            <w:r>
              <w:rPr>
                <w:rFonts w:hint="eastAsia" w:ascii="宋体" w:hAnsi="宋体" w:cs="宋体"/>
                <w:b w:val="0"/>
                <w:bCs w:val="0"/>
                <w:color w:val="auto"/>
                <w:sz w:val="24"/>
                <w:szCs w:val="24"/>
                <w:lang w:val="en-US" w:eastAsia="zh-CN"/>
              </w:rPr>
              <w:t>最终</w:t>
            </w:r>
            <w:r>
              <w:rPr>
                <w:rFonts w:hint="eastAsia" w:ascii="宋体" w:hAnsi="宋体" w:eastAsia="宋体" w:cs="宋体"/>
                <w:b w:val="0"/>
                <w:bCs w:val="0"/>
                <w:color w:val="auto"/>
                <w:sz w:val="24"/>
                <w:szCs w:val="24"/>
                <w:lang w:val="en-US" w:eastAsia="zh-CN"/>
              </w:rPr>
              <w:t>获得主管部门出具的相应批复文件</w:t>
            </w:r>
            <w:r>
              <w:rPr>
                <w:rFonts w:hint="eastAsia" w:ascii="宋体" w:hAnsi="宋体" w:eastAsia="宋体" w:cs="宋体"/>
                <w:color w:val="auto"/>
                <w:sz w:val="24"/>
                <w:szCs w:val="24"/>
                <w:lang w:val="en-US" w:eastAsia="zh-CN"/>
              </w:rPr>
              <w:t>。</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48" w:type="dxa"/>
            <w:noWrap w:val="0"/>
            <w:vAlign w:val="center"/>
          </w:tcPr>
          <w:p>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4750" w:type="dxa"/>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1"/>
              <w:rPr>
                <w:rFonts w:hint="eastAsia" w:ascii="宋体" w:hAnsi="宋体"/>
                <w:b/>
                <w:color w:val="auto"/>
                <w:sz w:val="32"/>
                <w:highlight w:val="none"/>
              </w:rPr>
            </w:pPr>
            <w:r>
              <w:rPr>
                <w:rFonts w:hint="eastAsia" w:ascii="宋体" w:hAnsi="宋体"/>
                <w:b/>
                <w:color w:val="auto"/>
                <w:sz w:val="32"/>
                <w:highlight w:val="none"/>
              </w:rPr>
              <w:t>商务要求</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300" w:lineRule="exact"/>
              <w:ind w:firstLine="360" w:firstLineChars="200"/>
              <w:jc w:val="left"/>
              <w:textAlignment w:val="auto"/>
              <w:outlineLvl w:val="9"/>
              <w:rPr>
                <w:rFonts w:hint="eastAsia" w:ascii="宋体" w:hAnsi="宋体" w:eastAsia="宋体" w:cs="宋体"/>
                <w:color w:val="auto"/>
                <w:sz w:val="24"/>
                <w:szCs w:val="24"/>
                <w:lang w:val="zh-CN" w:eastAsia="zh-CN"/>
              </w:rPr>
            </w:pPr>
            <w:r>
              <w:rPr>
                <w:rFonts w:hint="eastAsia" w:eastAsia="方正仿宋简体"/>
                <w:color w:val="auto"/>
                <w:sz w:val="18"/>
                <w:szCs w:val="18"/>
                <w:lang w:val="en-US" w:eastAsia="zh-CN"/>
              </w:rPr>
              <w:t xml:space="preserve"> </w:t>
            </w:r>
            <w:r>
              <w:rPr>
                <w:rFonts w:hint="eastAsia" w:ascii="宋体" w:hAnsi="宋体" w:eastAsia="宋体" w:cs="宋体"/>
                <w:color w:val="auto"/>
                <w:sz w:val="24"/>
                <w:szCs w:val="24"/>
                <w:lang w:val="zh-CN" w:eastAsia="zh-CN"/>
              </w:rPr>
              <w:t>1、供应商将入河排污口论证报告（含监测）、环境影响评价报告表（含监测）编制完成并取得相应批复文件，</w:t>
            </w:r>
            <w:r>
              <w:rPr>
                <w:rFonts w:hint="eastAsia" w:ascii="宋体" w:hAnsi="宋体" w:cs="宋体"/>
                <w:color w:val="auto"/>
                <w:sz w:val="24"/>
                <w:szCs w:val="24"/>
                <w:lang w:val="zh-CN" w:eastAsia="zh-CN"/>
              </w:rPr>
              <w:t>支付该阶段编制费用</w:t>
            </w:r>
            <w:r>
              <w:rPr>
                <w:rFonts w:hint="eastAsia" w:ascii="宋体" w:hAnsi="宋体" w:eastAsia="宋体" w:cs="宋体"/>
                <w:color w:val="auto"/>
                <w:sz w:val="24"/>
                <w:szCs w:val="24"/>
                <w:lang w:val="zh-CN" w:eastAsia="zh-CN"/>
              </w:rPr>
              <w:t>；供应商完成环境保护竣工验收报告（含监测）并取得相应批复文件，</w:t>
            </w:r>
            <w:r>
              <w:rPr>
                <w:rFonts w:hint="eastAsia" w:ascii="宋体" w:hAnsi="宋体" w:cs="宋体"/>
                <w:color w:val="auto"/>
                <w:sz w:val="24"/>
                <w:szCs w:val="24"/>
                <w:lang w:val="zh-CN" w:eastAsia="zh-CN"/>
              </w:rPr>
              <w:t>支付该阶段验收费用</w:t>
            </w:r>
            <w:r>
              <w:rPr>
                <w:rFonts w:hint="eastAsia" w:ascii="宋体" w:hAnsi="宋体" w:eastAsia="宋体" w:cs="宋体"/>
                <w:color w:val="auto"/>
                <w:sz w:val="24"/>
                <w:szCs w:val="24"/>
                <w:lang w:val="zh-CN" w:eastAsia="zh-CN"/>
              </w:rPr>
              <w:t>。每次付款前供应商应当开具等额、有效的增值税专用发票，否则，采购人可迟延支付服务费用并不承担逾期支付的违约责任。</w:t>
            </w:r>
          </w:p>
          <w:p>
            <w:pPr>
              <w:keepNext w:val="0"/>
              <w:keepLines w:val="0"/>
              <w:pageBreakBefore w:val="0"/>
              <w:kinsoku/>
              <w:wordWrap/>
              <w:overflowPunct/>
              <w:topLinePunct w:val="0"/>
              <w:autoSpaceDE/>
              <w:autoSpaceDN/>
              <w:bidi w:val="0"/>
              <w:adjustRightInd/>
              <w:snapToGrid/>
              <w:spacing w:line="300" w:lineRule="exact"/>
              <w:textAlignment w:val="auto"/>
              <w:outlineLvl w:val="1"/>
              <w:rPr>
                <w:rFonts w:hint="default"/>
                <w:lang w:val="en-US" w:eastAsia="zh-CN"/>
              </w:rPr>
            </w:pPr>
            <w:r>
              <w:rPr>
                <w:rFonts w:hint="eastAsia"/>
                <w:color w:val="auto"/>
                <w:sz w:val="24"/>
                <w:szCs w:val="24"/>
                <w:highlight w:val="none"/>
                <w:lang w:val="en-US" w:eastAsia="zh-CN"/>
              </w:rPr>
              <w:t>2、服务时间：合同签订后20个日历日完成入河排污口论证报告（含监测）、环境影响评价报告表（含监测）编制后提交主管部门进行审核并取得相应批复，项目竣工验收后25个日历日完成环境保护竣工验收报告（含监测）编制并提交主管部门进行审核，最终取得相应批复文件。</w:t>
            </w:r>
          </w:p>
        </w:tc>
        <w:tc>
          <w:tcPr>
            <w:tcW w:w="3398" w:type="dxa"/>
            <w:noWrap w:val="0"/>
            <w:vAlign w:val="center"/>
          </w:tcPr>
          <w:p>
            <w:pPr>
              <w:jc w:val="center"/>
              <w:rPr>
                <w:rFonts w:hint="eastAsia" w:ascii="宋体" w:hAnsi="宋体"/>
                <w:color w:val="auto"/>
                <w:sz w:val="24"/>
                <w:highlight w:val="none"/>
              </w:rPr>
            </w:pPr>
          </w:p>
        </w:tc>
      </w:tr>
    </w:tbl>
    <w:p>
      <w:pPr>
        <w:spacing w:line="360" w:lineRule="auto"/>
        <w:ind w:firstLine="240" w:firstLineChars="100"/>
        <w:jc w:val="left"/>
        <w:rPr>
          <w:rFonts w:hint="eastAsia"/>
          <w:color w:val="auto"/>
          <w:sz w:val="24"/>
          <w:highlight w:val="none"/>
        </w:rPr>
      </w:pPr>
      <w:r>
        <w:rPr>
          <w:rFonts w:hint="eastAsia"/>
          <w:color w:val="auto"/>
          <w:sz w:val="24"/>
          <w:highlight w:val="none"/>
        </w:rPr>
        <w:t>注：供应商必须根据询价文件要求据实</w:t>
      </w:r>
      <w:r>
        <w:rPr>
          <w:rFonts w:hint="eastAsia"/>
          <w:color w:val="auto"/>
          <w:sz w:val="24"/>
          <w:highlight w:val="none"/>
          <w:lang w:val="en-US" w:eastAsia="zh-CN"/>
        </w:rPr>
        <w:t>响应</w:t>
      </w:r>
      <w:r>
        <w:rPr>
          <w:rFonts w:hint="eastAsia"/>
          <w:color w:val="auto"/>
          <w:sz w:val="24"/>
          <w:highlight w:val="none"/>
        </w:rPr>
        <w:t>，不得虚假响应，虚假响应的，其响应文件无效并按规定追究其相关责任。</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line="360" w:lineRule="auto"/>
        <w:jc w:val="left"/>
        <w:rPr>
          <w:rFonts w:hint="eastAsia"/>
          <w:color w:val="auto"/>
          <w:sz w:val="24"/>
          <w:highlight w:val="none"/>
        </w:rPr>
      </w:pPr>
      <w:r>
        <w:rPr>
          <w:b/>
          <w:color w:val="auto"/>
          <w:sz w:val="32"/>
          <w:szCs w:val="32"/>
          <w:highlight w:val="none"/>
        </w:rPr>
        <w:br w:type="page"/>
      </w:r>
      <w:bookmarkStart w:id="86" w:name="_Toc797"/>
    </w:p>
    <w:bookmarkEnd w:id="86"/>
    <w:p>
      <w:pPr>
        <w:spacing w:before="156" w:beforeLines="50" w:after="468" w:afterLines="150"/>
        <w:jc w:val="center"/>
        <w:outlineLvl w:val="0"/>
        <w:rPr>
          <w:rFonts w:hint="eastAsia" w:ascii="黑体" w:hAnsi="黑体" w:eastAsia="黑体"/>
          <w:color w:val="auto"/>
          <w:sz w:val="36"/>
          <w:highlight w:val="none"/>
        </w:rPr>
      </w:pPr>
      <w:bookmarkStart w:id="87" w:name="_Toc5422"/>
      <w:bookmarkStart w:id="88" w:name="_Toc91771175"/>
      <w:bookmarkStart w:id="89" w:name="_Toc91771176"/>
      <w:bookmarkStart w:id="90" w:name="_Toc35"/>
    </w:p>
    <w:p>
      <w:pPr>
        <w:spacing w:before="156" w:beforeLines="50" w:after="468" w:afterLines="150"/>
        <w:jc w:val="center"/>
        <w:outlineLvl w:val="0"/>
        <w:rPr>
          <w:rStyle w:val="30"/>
          <w:rFonts w:hint="eastAsia"/>
          <w:color w:val="auto"/>
          <w:highlight w:val="none"/>
        </w:rPr>
      </w:pPr>
      <w:r>
        <w:rPr>
          <w:rFonts w:hint="eastAsia" w:ascii="黑体" w:hAnsi="黑体" w:eastAsia="黑体"/>
          <w:color w:val="auto"/>
          <w:sz w:val="36"/>
          <w:highlight w:val="none"/>
        </w:rPr>
        <w:t>第五章 保证金退还申请书</w:t>
      </w:r>
      <w:bookmarkEnd w:id="87"/>
      <w:bookmarkEnd w:id="88"/>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rPr>
          <w:rFonts w:ascii="黑体" w:hAnsi="黑体" w:eastAsia="黑体"/>
          <w:color w:val="auto"/>
          <w:sz w:val="36"/>
          <w:highlight w:val="none"/>
        </w:rPr>
      </w:pPr>
      <w:r>
        <w:rPr>
          <w:rFonts w:hint="eastAsia"/>
          <w:color w:val="auto"/>
          <w:highlight w:val="none"/>
        </w:rPr>
        <w:br w:type="page"/>
      </w:r>
    </w:p>
    <w:p>
      <w:pPr>
        <w:spacing w:before="156" w:beforeLines="50" w:after="468" w:afterLines="150"/>
        <w:jc w:val="center"/>
        <w:outlineLvl w:val="0"/>
        <w:rPr>
          <w:rStyle w:val="30"/>
          <w:rFonts w:hint="eastAsia" w:eastAsia="黑体"/>
          <w:color w:val="auto"/>
          <w:highlight w:val="none"/>
        </w:rPr>
      </w:pPr>
      <w:r>
        <w:rPr>
          <w:rFonts w:ascii="黑体" w:hAnsi="黑体" w:eastAsia="黑体"/>
          <w:color w:val="auto"/>
          <w:sz w:val="36"/>
          <w:highlight w:val="none"/>
        </w:rPr>
        <w:t>第</w:t>
      </w:r>
      <w:r>
        <w:rPr>
          <w:rFonts w:hint="eastAsia" w:ascii="黑体" w:hAnsi="黑体" w:eastAsia="黑体"/>
          <w:color w:val="auto"/>
          <w:sz w:val="36"/>
          <w:highlight w:val="none"/>
          <w:lang w:val="en-US" w:eastAsia="zh-CN"/>
        </w:rPr>
        <w:t>六</w:t>
      </w:r>
      <w:r>
        <w:rPr>
          <w:rFonts w:ascii="黑体" w:hAnsi="黑体" w:eastAsia="黑体"/>
          <w:color w:val="auto"/>
          <w:sz w:val="36"/>
          <w:highlight w:val="none"/>
        </w:rPr>
        <w:t>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89"/>
      <w:bookmarkEnd w:id="90"/>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1" w:name="_Toc3151"/>
      <w:bookmarkStart w:id="92" w:name="_Toc91771177"/>
      <w:r>
        <w:rPr>
          <w:rFonts w:hint="eastAsia" w:ascii="宋体" w:hAnsi="宋体"/>
          <w:b/>
          <w:bCs/>
          <w:color w:val="auto"/>
          <w:sz w:val="24"/>
          <w:highlight w:val="none"/>
        </w:rPr>
        <w:t>一、询价程序</w:t>
      </w:r>
      <w:bookmarkEnd w:id="91"/>
      <w:bookmarkEnd w:id="9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3" w:name="_Toc3155"/>
      <w:bookmarkStart w:id="94" w:name="_Toc91771178"/>
      <w:r>
        <w:rPr>
          <w:rFonts w:hint="eastAsia" w:ascii="宋体" w:hAnsi="宋体"/>
          <w:b/>
          <w:bCs/>
          <w:color w:val="auto"/>
          <w:sz w:val="24"/>
          <w:highlight w:val="none"/>
        </w:rPr>
        <w:t>二、评审程序、评审方法、评审标准</w:t>
      </w:r>
      <w:bookmarkEnd w:id="93"/>
      <w:bookmarkEnd w:id="9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5" w:name="_Toc10073"/>
      <w:bookmarkStart w:id="96" w:name="_Toc91771179"/>
      <w:r>
        <w:rPr>
          <w:rFonts w:hint="eastAsia" w:ascii="宋体" w:hAnsi="宋体"/>
          <w:b/>
          <w:bCs/>
          <w:color w:val="auto"/>
          <w:sz w:val="24"/>
          <w:highlight w:val="none"/>
        </w:rPr>
        <w:t>三、评审纪律</w:t>
      </w:r>
      <w:bookmarkEnd w:id="95"/>
      <w:bookmarkEnd w:id="9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44"/>
      <w:bookmarkEnd w:id="45"/>
      <w:bookmarkEnd w:id="46"/>
      <w:bookmarkStart w:id="97" w:name="_Hlt101846155"/>
      <w:bookmarkEnd w:id="97"/>
      <w:bookmarkStart w:id="98" w:name="_Toc217446059"/>
      <w:bookmarkStart w:id="99" w:name="_Toc217446099"/>
    </w:p>
    <w:p>
      <w:pPr>
        <w:numPr>
          <w:ilvl w:val="0"/>
          <w:numId w:val="0"/>
        </w:numPr>
        <w:spacing w:before="156" w:beforeLines="50" w:after="468" w:afterLines="150"/>
        <w:jc w:val="center"/>
        <w:outlineLvl w:val="0"/>
        <w:rPr>
          <w:rFonts w:hint="eastAsia" w:ascii="黑体" w:hAnsi="黑体" w:eastAsia="黑体"/>
          <w:color w:val="auto"/>
          <w:sz w:val="36"/>
          <w:highlight w:val="none"/>
        </w:rPr>
      </w:pPr>
      <w:r>
        <w:rPr>
          <w:rFonts w:ascii="宋体" w:hAnsi="宋体"/>
          <w:b/>
          <w:color w:val="auto"/>
          <w:sz w:val="36"/>
          <w:szCs w:val="36"/>
          <w:highlight w:val="none"/>
        </w:rPr>
        <w:br w:type="page"/>
      </w:r>
      <w:bookmarkStart w:id="100" w:name="_Toc91771180"/>
      <w:bookmarkStart w:id="101" w:name="_Toc11014"/>
      <w:r>
        <w:rPr>
          <w:rFonts w:hint="eastAsia" w:asciiTheme="majorEastAsia" w:hAnsiTheme="majorEastAsia" w:eastAsiaTheme="majorEastAsia" w:cstheme="majorEastAsia"/>
          <w:b/>
          <w:color w:val="auto"/>
          <w:sz w:val="36"/>
          <w:szCs w:val="36"/>
          <w:highlight w:val="none"/>
          <w:lang w:val="en-US" w:eastAsia="zh-CN"/>
        </w:rPr>
        <w:t>第七章</w:t>
      </w:r>
      <w:r>
        <w:rPr>
          <w:rFonts w:hint="eastAsia" w:ascii="宋体" w:hAnsi="宋体"/>
          <w:b/>
          <w:color w:val="auto"/>
          <w:sz w:val="36"/>
          <w:szCs w:val="36"/>
          <w:highlight w:val="none"/>
          <w:lang w:val="en-US" w:eastAsia="zh-CN"/>
        </w:rPr>
        <w:t xml:space="preserve"> </w:t>
      </w:r>
      <w:r>
        <w:rPr>
          <w:rFonts w:hint="eastAsia" w:ascii="黑体" w:hAnsi="黑体" w:eastAsia="黑体"/>
          <w:color w:val="auto"/>
          <w:sz w:val="36"/>
          <w:highlight w:val="none"/>
        </w:rPr>
        <w:t>采购合同（草案）</w:t>
      </w:r>
      <w:bookmarkEnd w:id="98"/>
      <w:bookmarkEnd w:id="99"/>
      <w:bookmarkEnd w:id="100"/>
      <w:bookmarkEnd w:id="101"/>
    </w:p>
    <w:p>
      <w:pPr>
        <w:keepNext w:val="0"/>
        <w:keepLines w:val="0"/>
        <w:widowControl w:val="0"/>
        <w:suppressLineNumbers w:val="0"/>
        <w:spacing w:before="156" w:beforeLines="50" w:beforeAutospacing="0" w:after="468" w:afterLines="150" w:afterAutospacing="0"/>
        <w:ind w:left="0" w:right="0"/>
        <w:jc w:val="center"/>
        <w:outlineLvl w:val="0"/>
        <w:rPr>
          <w:rFonts w:hint="eastAsia" w:ascii="黑体" w:hAnsi="宋体" w:eastAsia="黑体" w:cs="Times New Roman"/>
          <w:kern w:val="2"/>
          <w:sz w:val="36"/>
          <w:szCs w:val="36"/>
        </w:rPr>
      </w:pPr>
      <w:r>
        <w:rPr>
          <w:rFonts w:hint="eastAsia" w:ascii="黑体" w:hAnsi="宋体" w:eastAsia="黑体" w:cs="黑体"/>
          <w:b w:val="0"/>
          <w:bCs w:val="0"/>
          <w:kern w:val="2"/>
          <w:sz w:val="36"/>
          <w:szCs w:val="36"/>
          <w:lang w:val="en-US" w:eastAsia="zh-CN" w:bidi="ar"/>
        </w:rPr>
        <w:t>2021年泸州市江阳区城镇污水处理设施提质增效项目环境影响评价、环境保护竣工验收、入河排污口论证服务</w:t>
      </w:r>
      <w:r>
        <w:rPr>
          <w:rFonts w:hint="eastAsia" w:ascii="黑体" w:hAnsi="宋体" w:eastAsia="黑体" w:cs="黑体"/>
          <w:kern w:val="2"/>
          <w:sz w:val="36"/>
          <w:szCs w:val="36"/>
          <w:lang w:val="en-US" w:eastAsia="zh-CN" w:bidi="ar"/>
        </w:rPr>
        <w:t>采购合同</w:t>
      </w:r>
    </w:p>
    <w:p>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甲方：</w:t>
      </w:r>
    </w:p>
    <w:p>
      <w:pPr>
        <w:keepNext w:val="0"/>
        <w:keepLines w:val="0"/>
        <w:widowControl w:val="0"/>
        <w:suppressLineNumbers w:val="0"/>
        <w:autoSpaceDE w:val="0"/>
        <w:autoSpaceDN w:val="0"/>
        <w:adjustRightInd w:val="0"/>
        <w:snapToGrid w:val="0"/>
        <w:spacing w:before="0" w:beforeAutospacing="0" w:after="0" w:afterAutospacing="0" w:line="500" w:lineRule="exact"/>
        <w:ind w:left="0" w:right="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统一社会信用代码：</w:t>
      </w:r>
      <w:r>
        <w:rPr>
          <w:rFonts w:hint="eastAsia" w:ascii="宋体" w:hAnsi="宋体" w:eastAsia="宋体" w:cs="宋体"/>
          <w:kern w:val="2"/>
          <w:sz w:val="24"/>
          <w:szCs w:val="24"/>
          <w:lang w:val="en-US" w:eastAsia="zh-CN" w:bidi="ar"/>
        </w:rPr>
        <w:t xml:space="preserve">  </w:t>
      </w:r>
      <w:r>
        <w:rPr>
          <w:rFonts w:hint="eastAsia" w:ascii="宋体" w:hAnsi="宋体" w:eastAsia="宋体" w:cs="宋体"/>
          <w:b w:val="0"/>
          <w:bCs w:val="0"/>
          <w:kern w:val="2"/>
          <w:sz w:val="24"/>
          <w:szCs w:val="24"/>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法定代表人/负责人：</w:t>
      </w:r>
    </w:p>
    <w:p>
      <w:pPr>
        <w:pStyle w:val="2"/>
        <w:widowControl/>
        <w:spacing w:before="100" w:beforeAutospacing="1"/>
        <w:ind w:left="0" w:right="0"/>
        <w:rPr>
          <w:rFonts w:hint="eastAsia" w:ascii="宋体" w:hAnsi="宋体" w:eastAsia="宋体" w:cs="宋体"/>
          <w:kern w:val="2"/>
          <w:sz w:val="24"/>
          <w:szCs w:val="24"/>
        </w:rPr>
      </w:pPr>
      <w:r>
        <w:rPr>
          <w:rFonts w:hint="eastAsia" w:ascii="宋体" w:hAnsi="宋体" w:eastAsia="宋体" w:cs="宋体"/>
          <w:kern w:val="2"/>
          <w:sz w:val="24"/>
          <w:szCs w:val="24"/>
        </w:rPr>
        <w:t xml:space="preserve"> </w:t>
      </w:r>
    </w:p>
    <w:p>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乙方：         </w:t>
      </w:r>
    </w:p>
    <w:p>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统一社会信用代码：</w:t>
      </w:r>
      <w:r>
        <w:rPr>
          <w:rFonts w:hint="eastAsia" w:ascii="宋体" w:hAnsi="宋体" w:eastAsia="宋体" w:cs="宋体"/>
          <w:b/>
          <w:bCs/>
          <w:kern w:val="2"/>
          <w:sz w:val="24"/>
          <w:szCs w:val="24"/>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法定代表人/负责人：</w:t>
      </w:r>
    </w:p>
    <w:p>
      <w:pPr>
        <w:pStyle w:val="2"/>
        <w:widowControl/>
        <w:spacing w:before="100" w:beforeAutospacing="1"/>
        <w:ind w:left="0" w:right="0"/>
        <w:rPr>
          <w:rFonts w:hint="eastAsia" w:ascii="宋体" w:hAnsi="宋体" w:eastAsia="宋体" w:cs="宋体"/>
          <w:kern w:val="2"/>
          <w:sz w:val="24"/>
          <w:szCs w:val="24"/>
        </w:rPr>
      </w:pPr>
      <w:r>
        <w:rPr>
          <w:rFonts w:hint="eastAsia" w:ascii="宋体" w:hAnsi="宋体" w:eastAsia="宋体" w:cs="宋体"/>
          <w:kern w:val="2"/>
          <w:sz w:val="24"/>
          <w:szCs w:val="24"/>
        </w:rPr>
        <w:t xml:space="preserve"> </w:t>
      </w:r>
    </w:p>
    <w:p>
      <w:pPr>
        <w:pStyle w:val="5"/>
        <w:keepNext w:val="0"/>
        <w:keepLines w:val="0"/>
        <w:widowControl w:val="0"/>
        <w:suppressLineNumbers w:val="0"/>
        <w:autoSpaceDE w:val="0"/>
        <w:autoSpaceDN/>
        <w:spacing w:line="520" w:lineRule="exact"/>
        <w:ind w:left="0" w:lef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根据《中华人民共和国民法典》及 2021年泸州市江阳区城镇污水处理设施提质增效项目环境影响评价、环境保护竣工验收、入河排污口论证服务采购项目（项目编号：XYCG[2025]00号）的《询价文件》、乙方的《响应文件》、《成交通知书》，甲、乙双方充分协商，订立本合同。合同的《询价文件》、《响应文件》、《成交通知书》等均为本合同不可分割的部分。</w:t>
      </w:r>
    </w:p>
    <w:p>
      <w:pPr>
        <w:keepNext w:val="0"/>
        <w:keepLines w:val="0"/>
        <w:widowControl w:val="0"/>
        <w:numPr>
          <w:ilvl w:val="0"/>
          <w:numId w:val="3"/>
        </w:numPr>
        <w:suppressLineNumbers w:val="0"/>
        <w:autoSpaceDE w:val="0"/>
        <w:autoSpaceDN/>
        <w:spacing w:before="0" w:beforeAutospacing="0" w:after="0" w:afterAutospacing="0" w:line="520" w:lineRule="exact"/>
        <w:ind w:left="435" w:leftChars="0" w:right="0" w:firstLine="0" w:firstLineChars="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项目基本情况</w:t>
      </w: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line="520" w:lineRule="exact"/>
        <w:ind w:left="435" w:leftChars="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1.项目计划投资额：   </w:t>
      </w:r>
      <w:r>
        <w:rPr>
          <w:rFonts w:hint="eastAsia" w:ascii="宋体" w:hAnsi="宋体" w:cs="宋体"/>
          <w:kern w:val="2"/>
          <w:sz w:val="24"/>
          <w:szCs w:val="24"/>
          <w:lang w:val="en-US" w:eastAsia="zh-CN" w:bidi="ar"/>
        </w:rPr>
        <w:t>万</w:t>
      </w:r>
      <w:r>
        <w:rPr>
          <w:rFonts w:hint="eastAsia" w:ascii="宋体" w:hAnsi="宋体" w:eastAsia="宋体" w:cs="宋体"/>
          <w:kern w:val="2"/>
          <w:sz w:val="24"/>
          <w:szCs w:val="24"/>
          <w:lang w:val="en-US" w:eastAsia="zh-CN" w:bidi="ar"/>
        </w:rPr>
        <w:t xml:space="preserve">元； </w:t>
      </w:r>
    </w:p>
    <w:p>
      <w:pPr>
        <w:keepNext w:val="0"/>
        <w:keepLines w:val="0"/>
        <w:widowControl w:val="0"/>
        <w:suppressLineNumbers w:val="0"/>
        <w:autoSpaceDE w:val="0"/>
        <w:autoSpaceDN/>
        <w:spacing w:before="0" w:beforeAutospacing="0" w:after="0" w:afterAutospacing="0" w:line="520" w:lineRule="exact"/>
        <w:ind w:left="435" w:leftChars="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2.项目地址：    ； </w:t>
      </w:r>
    </w:p>
    <w:p>
      <w:pPr>
        <w:keepNext w:val="0"/>
        <w:keepLines w:val="0"/>
        <w:widowControl w:val="0"/>
        <w:suppressLineNumbers w:val="0"/>
        <w:autoSpaceDE w:val="0"/>
        <w:autoSpaceDN/>
        <w:spacing w:before="0" w:beforeAutospacing="0" w:after="0" w:afterAutospacing="0" w:line="520" w:lineRule="exact"/>
        <w:ind w:left="435" w:leftChars="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3.建设性质：□新建 ☑改扩 □技改； </w:t>
      </w:r>
    </w:p>
    <w:p>
      <w:pPr>
        <w:keepNext w:val="0"/>
        <w:keepLines w:val="0"/>
        <w:widowControl w:val="0"/>
        <w:suppressLineNumbers w:val="0"/>
        <w:autoSpaceDE w:val="0"/>
        <w:autoSpaceDN/>
        <w:spacing w:before="0" w:beforeAutospacing="0" w:after="0" w:afterAutospacing="0" w:line="520" w:lineRule="exact"/>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二、服务成果</w:t>
      </w:r>
    </w:p>
    <w:p>
      <w:pPr>
        <w:keepNext w:val="0"/>
        <w:keepLines w:val="0"/>
        <w:widowControl w:val="0"/>
        <w:suppressLineNumbers w:val="0"/>
        <w:autoSpaceDE w:val="0"/>
        <w:autoSpaceDN/>
        <w:spacing w:before="0" w:beforeAutospacing="0" w:after="0" w:afterAutospacing="0" w:line="52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w:t>
      </w:r>
      <w:r>
        <w:rPr>
          <w:rFonts w:hint="eastAsia" w:ascii="宋体" w:hAnsi="宋体" w:cs="宋体"/>
          <w:kern w:val="2"/>
          <w:sz w:val="24"/>
          <w:szCs w:val="24"/>
          <w:lang w:val="en-US" w:eastAsia="zh-CN" w:bidi="ar"/>
        </w:rPr>
        <w:t>乙方在本合同签订之日起【7】个工作日内向甲方发送报告所需要的资料清档，甲方根据资料清单在【7】个工作日内向乙方提供相应的基础资料。</w:t>
      </w:r>
      <w:r>
        <w:rPr>
          <w:rFonts w:hint="eastAsia" w:ascii="宋体" w:hAnsi="宋体" w:eastAsia="宋体" w:cs="宋体"/>
          <w:kern w:val="2"/>
          <w:sz w:val="24"/>
          <w:szCs w:val="24"/>
          <w:lang w:val="en-US" w:eastAsia="zh-CN" w:bidi="ar"/>
        </w:rPr>
        <w:t xml:space="preserve">乙方根据甲方提供的基础资料，按《中华人民共和国环境影响评价法》和国务院 253 号令《建设项目环境保护管理条例》、《入河排污口监督管理办法》以及相关法律法规、条例、技术标准和规范，为甲方的 </w:t>
      </w:r>
      <w:r>
        <w:rPr>
          <w:rFonts w:hint="default" w:ascii="Times New Roman" w:hAnsi="Times New Roman" w:eastAsia="宋体" w:cs="Times New Roman"/>
          <w:kern w:val="2"/>
          <w:sz w:val="24"/>
          <w:szCs w:val="24"/>
          <w:lang w:val="en-US" w:eastAsia="zh-CN" w:bidi="ar"/>
        </w:rPr>
        <w:t>2021</w:t>
      </w:r>
      <w:r>
        <w:rPr>
          <w:rFonts w:hint="eastAsia" w:ascii="宋体" w:hAnsi="宋体" w:eastAsia="宋体" w:cs="宋体"/>
          <w:kern w:val="2"/>
          <w:sz w:val="24"/>
          <w:szCs w:val="24"/>
          <w:lang w:val="en-US" w:eastAsia="zh-CN" w:bidi="ar"/>
        </w:rPr>
        <w:t>年泸州市江阳区城镇污水处理设施提质增效项目编制</w:t>
      </w:r>
      <w:r>
        <w:rPr>
          <w:rFonts w:hint="eastAsia" w:ascii="宋体" w:hAnsi="宋体" w:eastAsia="宋体" w:cs="宋体"/>
          <w:b w:val="0"/>
          <w:bCs w:val="0"/>
          <w:kern w:val="0"/>
          <w:sz w:val="24"/>
          <w:szCs w:val="24"/>
          <w:lang w:val="en-US" w:eastAsia="zh-CN" w:bidi="ar"/>
        </w:rPr>
        <w:t>入河排污口论证报告（含监测）、环境影响评价报告表（含监测）、环境保护竣工验收报告（含监测），并分别</w:t>
      </w:r>
      <w:r>
        <w:rPr>
          <w:rFonts w:hint="eastAsia" w:ascii="宋体" w:hAnsi="宋体" w:eastAsia="宋体" w:cs="宋体"/>
          <w:b w:val="0"/>
          <w:bCs w:val="0"/>
          <w:kern w:val="2"/>
          <w:sz w:val="24"/>
          <w:szCs w:val="24"/>
          <w:lang w:val="en-US" w:eastAsia="zh-CN" w:bidi="ar"/>
        </w:rPr>
        <w:t>取得相关主管部门批复。</w:t>
      </w:r>
    </w:p>
    <w:p>
      <w:pPr>
        <w:keepNext w:val="0"/>
        <w:keepLines w:val="0"/>
        <w:widowControl w:val="0"/>
        <w:suppressLineNumbers w:val="0"/>
        <w:autoSpaceDE w:val="0"/>
        <w:autoSpaceDN/>
        <w:spacing w:before="0" w:beforeAutospacing="0" w:after="0" w:afterAutospacing="0" w:line="52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b w:val="0"/>
          <w:bCs w:val="0"/>
          <w:kern w:val="2"/>
          <w:sz w:val="24"/>
          <w:szCs w:val="24"/>
          <w:lang w:val="en-US" w:eastAsia="zh-CN" w:bidi="ar"/>
        </w:rPr>
        <w:t>2、由乙方提供符合要求且签章齐备的相应阶段成果文件3份及电子文件，并提交主管部门审核、组织专家评审（承担相应专家费用），最终获得主管部门出具的相应批复文件</w:t>
      </w:r>
      <w:r>
        <w:rPr>
          <w:rFonts w:hint="eastAsia" w:ascii="宋体" w:hAnsi="宋体" w:eastAsia="宋体" w:cs="宋体"/>
          <w:kern w:val="2"/>
          <w:sz w:val="24"/>
          <w:szCs w:val="24"/>
          <w:lang w:val="en-US" w:eastAsia="zh-CN" w:bidi="ar"/>
        </w:rPr>
        <w:t>。</w:t>
      </w:r>
    </w:p>
    <w:p>
      <w:pPr>
        <w:keepNext w:val="0"/>
        <w:keepLines w:val="0"/>
        <w:widowControl w:val="0"/>
        <w:suppressLineNumbers w:val="0"/>
        <w:autoSpaceDE w:val="0"/>
        <w:autoSpaceDN/>
        <w:spacing w:before="0" w:beforeAutospacing="0" w:after="0" w:afterAutospacing="0" w:line="520" w:lineRule="exact"/>
        <w:ind w:left="435" w:leftChars="0" w:right="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 xml:space="preserve">三、履行期限、方式 </w:t>
      </w:r>
    </w:p>
    <w:p>
      <w:pPr>
        <w:keepNext w:val="0"/>
        <w:keepLines w:val="0"/>
        <w:widowControl w:val="0"/>
        <w:suppressLineNumbers w:val="0"/>
        <w:autoSpaceDE w:val="0"/>
        <w:autoSpaceDN/>
        <w:spacing w:before="0" w:beforeAutospacing="0" w:after="0" w:afterAutospacing="0" w:line="52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1、履行期限：合同签订后</w:t>
      </w:r>
      <w:r>
        <w:rPr>
          <w:rFonts w:hint="default" w:ascii="Times New Roman" w:hAnsi="Times New Roman" w:eastAsia="宋体" w:cs="Times New Roman"/>
          <w:kern w:val="2"/>
          <w:sz w:val="24"/>
          <w:szCs w:val="24"/>
          <w:lang w:val="en-US" w:eastAsia="zh-CN" w:bidi="ar"/>
        </w:rPr>
        <w:t>20</w:t>
      </w:r>
      <w:r>
        <w:rPr>
          <w:rFonts w:hint="eastAsia" w:ascii="宋体" w:hAnsi="宋体" w:eastAsia="宋体" w:cs="宋体"/>
          <w:kern w:val="2"/>
          <w:sz w:val="24"/>
          <w:szCs w:val="24"/>
          <w:lang w:val="en-US" w:eastAsia="zh-CN" w:bidi="ar"/>
        </w:rPr>
        <w:t>个日历日完成入河排污口论证报告（含监测）、环境影响评价报告表（含监测）编制后提交主管部门进行审核并取得相应批复，项目竣工验收后</w:t>
      </w:r>
      <w:r>
        <w:rPr>
          <w:rFonts w:hint="default" w:ascii="Times New Roman" w:hAnsi="Times New Roman" w:eastAsia="宋体" w:cs="Times New Roman"/>
          <w:kern w:val="2"/>
          <w:sz w:val="24"/>
          <w:szCs w:val="24"/>
          <w:lang w:val="en-US" w:eastAsia="zh-CN" w:bidi="ar"/>
        </w:rPr>
        <w:t>25</w:t>
      </w:r>
      <w:r>
        <w:rPr>
          <w:rFonts w:hint="eastAsia" w:ascii="宋体" w:hAnsi="宋体" w:eastAsia="宋体" w:cs="宋体"/>
          <w:kern w:val="2"/>
          <w:sz w:val="24"/>
          <w:szCs w:val="24"/>
          <w:lang w:val="en-US" w:eastAsia="zh-CN" w:bidi="ar"/>
        </w:rPr>
        <w:t>个日历日完成环境保护竣工验收报告（含监测）编制并提交主管部门进行审核，最终取得相应批复文件。</w:t>
      </w:r>
    </w:p>
    <w:p>
      <w:pPr>
        <w:keepNext w:val="0"/>
        <w:keepLines w:val="0"/>
        <w:widowControl w:val="0"/>
        <w:suppressLineNumbers w:val="0"/>
        <w:autoSpaceDE w:val="0"/>
        <w:autoSpaceDN/>
        <w:spacing w:before="0" w:beforeAutospacing="0" w:after="0" w:afterAutospacing="0" w:line="52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2.履行方式：技术服务。</w:t>
      </w:r>
    </w:p>
    <w:p>
      <w:pPr>
        <w:keepNext w:val="0"/>
        <w:keepLines w:val="0"/>
        <w:widowControl w:val="0"/>
        <w:suppressLineNumbers w:val="0"/>
        <w:autoSpaceDE w:val="0"/>
        <w:autoSpaceDN/>
        <w:spacing w:before="0" w:beforeAutospacing="0" w:after="0" w:afterAutospacing="0" w:line="520" w:lineRule="exact"/>
        <w:ind w:left="435" w:leftChars="0" w:right="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四、服务费用 、支付方式及履约保证金</w:t>
      </w:r>
    </w:p>
    <w:p>
      <w:pPr>
        <w:keepNext w:val="0"/>
        <w:keepLines w:val="0"/>
        <w:widowControl w:val="0"/>
        <w:suppressLineNumbers w:val="0"/>
        <w:autoSpaceDE w:val="0"/>
        <w:autoSpaceDN/>
        <w:spacing w:before="0" w:beforeAutospacing="0" w:after="0" w:afterAutospacing="0" w:line="52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1.技术服务费总额为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人民币 （大写：     ）。本项目价格为包干价，包括但不限于完成本项目的人工费、现场踏勘费、报告编制费、材料费、配合报建、指导、风险费、评审会务费、专家评审费、监测费、保险、合理利润、增值税（提供增值税专用发票 ，税率  %）等本项目所需全部费用。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项目名称</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各项内容名称</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服务费（元）</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129" w:type="dxa"/>
            <w:vMerge w:val="restart"/>
            <w:tcBorders>
              <w:top w:val="nil"/>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Lines="0" w:beforeAutospacing="0" w:after="0" w:afterAutospacing="0"/>
              <w:ind w:left="0" w:right="0"/>
              <w:jc w:val="both"/>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2021</w:t>
            </w:r>
            <w:r>
              <w:rPr>
                <w:rFonts w:hint="eastAsia" w:ascii="宋体" w:hAnsi="宋体" w:eastAsia="宋体" w:cs="宋体"/>
                <w:kern w:val="2"/>
                <w:sz w:val="24"/>
                <w:szCs w:val="24"/>
                <w:lang w:val="en-US" w:eastAsia="zh-CN" w:bidi="ar"/>
              </w:rPr>
              <w:t>年泸州市江阳区城镇污水处理设施提质增效项目环境影响评价、环境保护竣工验收、入河排污口论证服务采购</w:t>
            </w:r>
          </w:p>
        </w:tc>
        <w:tc>
          <w:tcPr>
            <w:tcW w:w="213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Lines="0" w:beforeAutospacing="0" w:after="0" w:afterAutospacing="0"/>
              <w:ind w:left="0" w:right="0"/>
              <w:jc w:val="both"/>
              <w:rPr>
                <w:rFonts w:hint="eastAsia" w:ascii="Times New Roman" w:hAnsi="Times New Roman" w:eastAsia="宋体" w:cs="Times New Roman"/>
                <w:kern w:val="2"/>
                <w:sz w:val="24"/>
                <w:szCs w:val="24"/>
              </w:rPr>
            </w:pPr>
            <w:r>
              <w:rPr>
                <w:rFonts w:hint="eastAsia" w:ascii="宋体" w:hAnsi="宋体" w:eastAsia="宋体" w:cs="宋体"/>
                <w:b w:val="0"/>
                <w:bCs w:val="0"/>
                <w:kern w:val="0"/>
                <w:sz w:val="24"/>
                <w:szCs w:val="24"/>
                <w:lang w:val="en-US" w:eastAsia="zh-CN" w:bidi="ar"/>
              </w:rPr>
              <w:t>入河排污口论证报告（含监测）</w:t>
            </w:r>
          </w:p>
        </w:tc>
        <w:tc>
          <w:tcPr>
            <w:tcW w:w="213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Lines="0" w:beforeAutospacing="0" w:after="0" w:afterAutospacing="0"/>
              <w:ind w:left="0" w:right="0"/>
              <w:jc w:val="both"/>
              <w:rPr>
                <w:rFonts w:hint="eastAsia" w:ascii="Times New Roman" w:hAnsi="Times New Roman" w:eastAsia="宋体" w:cs="Times New Roman"/>
                <w:kern w:val="2"/>
                <w:sz w:val="24"/>
                <w:szCs w:val="24"/>
              </w:rPr>
            </w:pPr>
          </w:p>
        </w:tc>
        <w:tc>
          <w:tcPr>
            <w:tcW w:w="2130" w:type="dxa"/>
            <w:vMerge w:val="restart"/>
            <w:tcBorders>
              <w:top w:val="nil"/>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Lines="0" w:beforeAutospacing="0" w:after="0" w:afterAutospacing="0"/>
              <w:ind w:left="0" w:right="0"/>
              <w:jc w:val="both"/>
              <w:rPr>
                <w:rFonts w:hint="eastAsia" w:ascii="Times New Roman" w:hAnsi="Times New Roman" w:eastAsia="宋体" w:cs="Times New Roman"/>
                <w:kern w:val="2"/>
                <w:sz w:val="24"/>
                <w:szCs w:val="24"/>
              </w:rPr>
            </w:pPr>
          </w:p>
          <w:p>
            <w:pPr>
              <w:keepNext w:val="0"/>
              <w:keepLines w:val="0"/>
              <w:widowControl w:val="0"/>
              <w:suppressLineNumbers w:val="0"/>
              <w:spacing w:before="0" w:beforeLines="0" w:beforeAutospacing="0" w:after="0" w:afterAutospacing="0"/>
              <w:ind w:left="0" w:right="0"/>
              <w:jc w:val="both"/>
              <w:rPr>
                <w:rFonts w:hint="eastAsia" w:ascii="Times New Roman" w:hAnsi="Times New Roman" w:eastAsia="宋体" w:cs="Times New Roman"/>
                <w:kern w:val="2"/>
                <w:sz w:val="24"/>
                <w:szCs w:val="24"/>
              </w:rPr>
            </w:pPr>
          </w:p>
          <w:p>
            <w:pPr>
              <w:keepNext w:val="0"/>
              <w:keepLines w:val="0"/>
              <w:widowControl w:val="0"/>
              <w:suppressLineNumbers w:val="0"/>
              <w:spacing w:before="0" w:beforeLines="0" w:beforeAutospacing="0" w:after="0" w:afterAutospacing="0"/>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含取得各项相应批复文件的费用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129" w:type="dxa"/>
            <w:vMerge w:val="continue"/>
            <w:tcBorders>
              <w:top w:val="nil"/>
              <w:left w:val="single" w:color="auto" w:sz="4" w:space="0"/>
              <w:bottom w:val="single" w:color="auto" w:sz="4" w:space="0"/>
              <w:right w:val="single" w:color="auto" w:sz="4" w:space="0"/>
            </w:tcBorders>
            <w:noWrap w:val="0"/>
            <w:vAlign w:val="top"/>
          </w:tcPr>
          <w:p>
            <w:pPr>
              <w:jc w:val="both"/>
              <w:rPr>
                <w:rFonts w:hint="default" w:ascii="Times New Roman" w:hAnsi="Times New Roman" w:cs="Times New Roman"/>
                <w:sz w:val="20"/>
                <w:szCs w:val="20"/>
              </w:rPr>
            </w:pPr>
          </w:p>
        </w:tc>
        <w:tc>
          <w:tcPr>
            <w:tcW w:w="213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Lines="0" w:beforeAutospacing="0" w:after="0" w:afterAutospacing="0"/>
              <w:ind w:left="0" w:right="0"/>
              <w:jc w:val="both"/>
              <w:rPr>
                <w:rFonts w:hint="eastAsia" w:ascii="Times New Roman" w:hAnsi="Times New Roman" w:eastAsia="宋体" w:cs="Times New Roman"/>
                <w:kern w:val="2"/>
                <w:sz w:val="24"/>
                <w:szCs w:val="24"/>
              </w:rPr>
            </w:pPr>
            <w:r>
              <w:rPr>
                <w:rFonts w:hint="eastAsia" w:ascii="宋体" w:hAnsi="宋体" w:eastAsia="宋体" w:cs="宋体"/>
                <w:b w:val="0"/>
                <w:bCs w:val="0"/>
                <w:kern w:val="0"/>
                <w:sz w:val="24"/>
                <w:szCs w:val="24"/>
                <w:lang w:val="en-US" w:eastAsia="zh-CN" w:bidi="ar"/>
              </w:rPr>
              <w:t>环境影响评价报告表（含监测）</w:t>
            </w:r>
          </w:p>
        </w:tc>
        <w:tc>
          <w:tcPr>
            <w:tcW w:w="213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Lines="0" w:beforeAutospacing="0" w:after="0" w:afterAutospacing="0"/>
              <w:ind w:left="0" w:right="0"/>
              <w:jc w:val="both"/>
              <w:rPr>
                <w:rFonts w:hint="eastAsia" w:ascii="Times New Roman" w:hAnsi="Times New Roman" w:eastAsia="宋体" w:cs="Times New Roman"/>
                <w:kern w:val="2"/>
                <w:sz w:val="24"/>
                <w:szCs w:val="24"/>
              </w:rPr>
            </w:pPr>
          </w:p>
        </w:tc>
        <w:tc>
          <w:tcPr>
            <w:tcW w:w="2130" w:type="dxa"/>
            <w:vMerge w:val="continue"/>
            <w:tcBorders>
              <w:top w:val="nil"/>
              <w:left w:val="single" w:color="auto" w:sz="4" w:space="0"/>
              <w:bottom w:val="single" w:color="auto" w:sz="4" w:space="0"/>
              <w:right w:val="single" w:color="auto" w:sz="4" w:space="0"/>
            </w:tcBorders>
            <w:noWrap w:val="0"/>
            <w:vAlign w:val="top"/>
          </w:tcPr>
          <w:p>
            <w:pPr>
              <w:jc w:val="both"/>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129" w:type="dxa"/>
            <w:vMerge w:val="continue"/>
            <w:tcBorders>
              <w:top w:val="nil"/>
              <w:left w:val="single" w:color="auto" w:sz="4" w:space="0"/>
              <w:bottom w:val="single" w:color="auto" w:sz="4" w:space="0"/>
              <w:right w:val="single" w:color="auto" w:sz="4" w:space="0"/>
            </w:tcBorders>
            <w:noWrap w:val="0"/>
            <w:vAlign w:val="top"/>
          </w:tcPr>
          <w:p>
            <w:pPr>
              <w:jc w:val="both"/>
              <w:rPr>
                <w:rFonts w:hint="default" w:ascii="Times New Roman" w:hAnsi="Times New Roman" w:cs="Times New Roman"/>
                <w:sz w:val="20"/>
                <w:szCs w:val="20"/>
              </w:rPr>
            </w:pPr>
          </w:p>
        </w:tc>
        <w:tc>
          <w:tcPr>
            <w:tcW w:w="213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Lines="0" w:beforeAutospacing="0" w:after="0" w:afterAutospacing="0"/>
              <w:ind w:left="0" w:right="0"/>
              <w:jc w:val="both"/>
              <w:rPr>
                <w:rFonts w:hint="eastAsia" w:ascii="Times New Roman" w:hAnsi="Times New Roman" w:eastAsia="宋体" w:cs="Times New Roman"/>
                <w:kern w:val="2"/>
                <w:sz w:val="24"/>
                <w:szCs w:val="24"/>
              </w:rPr>
            </w:pPr>
            <w:r>
              <w:rPr>
                <w:rFonts w:hint="eastAsia" w:ascii="宋体" w:hAnsi="宋体" w:eastAsia="宋体" w:cs="宋体"/>
                <w:b w:val="0"/>
                <w:bCs w:val="0"/>
                <w:kern w:val="0"/>
                <w:sz w:val="24"/>
                <w:szCs w:val="24"/>
                <w:lang w:val="en-US" w:eastAsia="zh-CN" w:bidi="ar"/>
              </w:rPr>
              <w:t>环境保护竣工验收报告（含监测）</w:t>
            </w:r>
          </w:p>
        </w:tc>
        <w:tc>
          <w:tcPr>
            <w:tcW w:w="213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Lines="0" w:beforeAutospacing="0" w:after="0" w:afterAutospacing="0"/>
              <w:ind w:left="0" w:right="0"/>
              <w:jc w:val="both"/>
              <w:rPr>
                <w:rFonts w:hint="eastAsia" w:ascii="Times New Roman" w:hAnsi="Times New Roman" w:eastAsia="宋体" w:cs="Times New Roman"/>
                <w:kern w:val="2"/>
                <w:sz w:val="24"/>
                <w:szCs w:val="24"/>
              </w:rPr>
            </w:pPr>
          </w:p>
        </w:tc>
        <w:tc>
          <w:tcPr>
            <w:tcW w:w="2130" w:type="dxa"/>
            <w:vMerge w:val="continue"/>
            <w:tcBorders>
              <w:top w:val="nil"/>
              <w:left w:val="single" w:color="auto" w:sz="4" w:space="0"/>
              <w:bottom w:val="single" w:color="auto" w:sz="4" w:space="0"/>
              <w:right w:val="single" w:color="auto" w:sz="4" w:space="0"/>
            </w:tcBorders>
            <w:noWrap w:val="0"/>
            <w:vAlign w:val="top"/>
          </w:tcPr>
          <w:p>
            <w:pPr>
              <w:jc w:val="both"/>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29" w:type="dxa"/>
            <w:vMerge w:val="continue"/>
            <w:tcBorders>
              <w:top w:val="nil"/>
              <w:left w:val="single" w:color="auto" w:sz="4" w:space="0"/>
              <w:bottom w:val="single" w:color="auto" w:sz="4" w:space="0"/>
              <w:right w:val="single" w:color="auto" w:sz="4" w:space="0"/>
            </w:tcBorders>
            <w:noWrap w:val="0"/>
            <w:vAlign w:val="top"/>
          </w:tcPr>
          <w:p>
            <w:pPr>
              <w:jc w:val="both"/>
              <w:rPr>
                <w:rFonts w:hint="default" w:ascii="Times New Roman" w:hAnsi="Times New Roman" w:cs="Times New Roman"/>
                <w:sz w:val="20"/>
                <w:szCs w:val="20"/>
              </w:rPr>
            </w:pPr>
          </w:p>
        </w:tc>
        <w:tc>
          <w:tcPr>
            <w:tcW w:w="639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Lines="0" w:beforeAutospacing="0" w:after="0" w:afterAutospacing="0"/>
              <w:ind w:left="0" w:right="0" w:firstLine="1200" w:firstLineChars="50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合计：</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元（含税，税率</w:t>
            </w:r>
            <w:r>
              <w:rPr>
                <w:rFonts w:hint="eastAsia"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w:t>
            </w:r>
          </w:p>
        </w:tc>
      </w:tr>
    </w:tbl>
    <w:p>
      <w:pPr>
        <w:keepNext w:val="0"/>
        <w:keepLines w:val="0"/>
        <w:widowControl w:val="0"/>
        <w:suppressLineNumbers w:val="0"/>
        <w:autoSpaceDE w:val="0"/>
        <w:autoSpaceDN/>
        <w:spacing w:before="0" w:beforeAutospacing="0" w:after="0" w:afterAutospacing="0" w:line="520" w:lineRule="exact"/>
        <w:ind w:left="0" w:right="0" w:firstLine="240" w:firstLineChars="1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2.支付时间：乙方将入河排污口论证报告（含监测）、环境影响评价报告表（含监测）编制完成并取得相应批复文件，支付该阶段编制费用；乙方完成环境保护竣工验收报告（含监测）并取得相应批复文件，支付该阶段验收费用。每次付款前乙方应当开具等额、有效的增值税专用发票，否则，甲方可迟延支付服务费用并不承担逾期支付的违约责任。</w:t>
      </w:r>
    </w:p>
    <w:p>
      <w:pPr>
        <w:keepNext w:val="0"/>
        <w:keepLines w:val="0"/>
        <w:widowControl w:val="0"/>
        <w:suppressLineNumbers w:val="0"/>
        <w:autoSpaceDE w:val="0"/>
        <w:autoSpaceDN/>
        <w:spacing w:before="0" w:beforeAutospacing="0" w:after="0" w:afterAutospacing="0" w:line="520" w:lineRule="exact"/>
        <w:ind w:left="435" w:leftChars="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3.所有款项均以银行转账方式支付。</w:t>
      </w:r>
    </w:p>
    <w:p>
      <w:pPr>
        <w:keepNext w:val="0"/>
        <w:keepLines w:val="0"/>
        <w:widowControl w:val="0"/>
        <w:suppressLineNumbers w:val="0"/>
        <w:autoSpaceDE w:val="0"/>
        <w:autoSpaceDN/>
        <w:spacing w:before="0" w:beforeAutospacing="0" w:after="0" w:afterAutospacing="0" w:line="52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4.乙方应按本项目询价文件要求于合同签订前缴纳中选金额10%的履约保证金。乙方完成本合同要求义务且无任何违约责任后 15 个工作日内凭乙方书面申请予以无息退还。</w:t>
      </w:r>
    </w:p>
    <w:p>
      <w:pPr>
        <w:keepNext w:val="0"/>
        <w:keepLines w:val="0"/>
        <w:widowControl w:val="0"/>
        <w:suppressLineNumbers w:val="0"/>
        <w:autoSpaceDE w:val="0"/>
        <w:autoSpaceDN/>
        <w:spacing w:before="0" w:beforeAutospacing="0" w:after="0" w:afterAutospacing="0" w:line="520" w:lineRule="exact"/>
        <w:ind w:left="435" w:leftChars="0" w:right="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五、双方的权利和义务 </w:t>
      </w:r>
    </w:p>
    <w:p>
      <w:pPr>
        <w:keepNext w:val="0"/>
        <w:keepLines w:val="0"/>
        <w:widowControl w:val="0"/>
        <w:numPr>
          <w:ilvl w:val="0"/>
          <w:numId w:val="4"/>
        </w:numPr>
        <w:suppressLineNumbers w:val="0"/>
        <w:autoSpaceDE w:val="0"/>
        <w:autoSpaceDN/>
        <w:spacing w:before="0" w:beforeAutospacing="0" w:after="0" w:afterAutospacing="0" w:line="520" w:lineRule="exact"/>
        <w:ind w:left="435" w:leftChars="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甲方的权利和义务 </w:t>
      </w:r>
    </w:p>
    <w:p>
      <w:pPr>
        <w:keepNext w:val="0"/>
        <w:keepLines w:val="0"/>
        <w:widowControl w:val="0"/>
        <w:suppressLineNumbers w:val="0"/>
        <w:autoSpaceDE w:val="0"/>
        <w:autoSpaceDN/>
        <w:spacing w:before="0" w:beforeAutospacing="0" w:after="0" w:afterAutospacing="0" w:line="520" w:lineRule="exact"/>
        <w:ind w:left="0" w:right="0" w:firstLine="240" w:firstLineChars="1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（1）甲方有权要求乙方按合同约定完成</w:t>
      </w:r>
      <w:r>
        <w:rPr>
          <w:rFonts w:hint="eastAsia" w:ascii="宋体" w:hAnsi="宋体" w:eastAsia="宋体" w:cs="宋体"/>
          <w:b w:val="0"/>
          <w:bCs w:val="0"/>
          <w:kern w:val="0"/>
          <w:sz w:val="24"/>
          <w:szCs w:val="24"/>
          <w:lang w:val="en-US" w:eastAsia="zh-CN" w:bidi="ar"/>
        </w:rPr>
        <w:t>入河排污口论证报告（含监测）、环境影响评价报告表（含监测）、环境保护竣工验收报告（含监测）</w:t>
      </w:r>
      <w:r>
        <w:rPr>
          <w:rFonts w:hint="eastAsia" w:ascii="宋体" w:hAnsi="宋体" w:eastAsia="宋体" w:cs="宋体"/>
          <w:kern w:val="2"/>
          <w:sz w:val="24"/>
          <w:szCs w:val="24"/>
          <w:lang w:val="en-US" w:eastAsia="zh-CN" w:bidi="ar"/>
        </w:rPr>
        <w:t>的编制工作，提交主管部门进行审核并取得相应批复。（</w:t>
      </w:r>
      <w:r>
        <w:rPr>
          <w:rFonts w:hint="eastAsia" w:ascii="宋体" w:hAnsi="宋体" w:eastAsia="宋体" w:cs="宋体"/>
          <w:b w:val="0"/>
          <w:bCs w:val="0"/>
          <w:kern w:val="0"/>
          <w:sz w:val="24"/>
          <w:szCs w:val="24"/>
          <w:lang w:val="en-US" w:eastAsia="zh-CN" w:bidi="ar"/>
        </w:rPr>
        <w:t>入河排污口论证涉及分水(扩建至800)、白马(扩建至1200)、中寨(扩建至400)、况场(新建400)四个场站；环境影响评价、环境保护竣工验收报告涉及白马(1200)，并汇总所有场站环评情况附在白马环评表。</w:t>
      </w:r>
      <w:r>
        <w:rPr>
          <w:rFonts w:hint="eastAsia" w:ascii="宋体" w:hAnsi="宋体" w:eastAsia="宋体" w:cs="宋体"/>
          <w:kern w:val="2"/>
          <w:sz w:val="24"/>
          <w:szCs w:val="24"/>
          <w:lang w:val="en-US" w:eastAsia="zh-CN" w:bidi="ar"/>
        </w:rPr>
        <w:t>）</w:t>
      </w:r>
      <w:r>
        <w:rPr>
          <w:rFonts w:hint="eastAsia" w:ascii="宋体" w:hAnsi="宋体" w:eastAsia="宋体" w:cs="宋体"/>
          <w:b w:val="0"/>
          <w:bCs w:val="0"/>
          <w:kern w:val="0"/>
          <w:sz w:val="24"/>
          <w:szCs w:val="24"/>
          <w:lang w:val="en-US" w:eastAsia="zh-CN" w:bidi="ar"/>
        </w:rPr>
        <w:t>。</w:t>
      </w:r>
    </w:p>
    <w:p>
      <w:pPr>
        <w:keepNext w:val="0"/>
        <w:keepLines w:val="0"/>
        <w:widowControl w:val="0"/>
        <w:suppressLineNumbers w:val="0"/>
        <w:autoSpaceDE w:val="0"/>
        <w:autoSpaceDN/>
        <w:spacing w:before="0" w:beforeAutospacing="0" w:after="0" w:afterAutospacing="0" w:line="520" w:lineRule="exact"/>
        <w:ind w:left="0" w:right="0" w:firstLine="240" w:firstLineChars="1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（2）甲方应按时为乙方提供其开展工作所需要的技术基础资料。</w:t>
      </w:r>
    </w:p>
    <w:p>
      <w:pPr>
        <w:keepNext w:val="0"/>
        <w:keepLines w:val="0"/>
        <w:widowControl w:val="0"/>
        <w:suppressLineNumbers w:val="0"/>
        <w:autoSpaceDE w:val="0"/>
        <w:autoSpaceDN/>
        <w:spacing w:before="0" w:beforeAutospacing="0" w:after="0" w:afterAutospacing="0" w:line="520" w:lineRule="exact"/>
        <w:ind w:left="0" w:right="0" w:firstLine="240" w:firstLineChars="1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（3）甲方未按时提供提供编写报告所必需的技术资料和图纸及有关文件而导致工作延误的，该技术服务工作时间顺延。</w:t>
      </w:r>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 xml:space="preserve">  （4）若乙方提交的报告未一次通过评审，造成返工发生的费用概由乙方负责，甲方不再支付费用，直到获得主管部分审批。</w:t>
      </w:r>
    </w:p>
    <w:p>
      <w:pPr>
        <w:keepNext w:val="0"/>
        <w:keepLines w:val="0"/>
        <w:widowControl w:val="0"/>
        <w:suppressLineNumbers w:val="0"/>
        <w:autoSpaceDE w:val="0"/>
        <w:autoSpaceDN/>
        <w:spacing w:before="0" w:beforeAutospacing="0" w:after="0" w:afterAutospacing="0" w:line="520" w:lineRule="exact"/>
        <w:ind w:left="435" w:leftChars="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w:t>
      </w:r>
      <w:r>
        <w:rPr>
          <w:rFonts w:hint="eastAsia" w:ascii="宋体" w:hAnsi="宋体" w:eastAsia="宋体" w:cs="宋体"/>
          <w:b/>
          <w:bCs/>
          <w:kern w:val="2"/>
          <w:sz w:val="24"/>
          <w:szCs w:val="24"/>
          <w:lang w:val="en-US" w:eastAsia="zh-CN" w:bidi="ar"/>
        </w:rPr>
        <w:t xml:space="preserve">乙方的权利和义务 </w:t>
      </w:r>
    </w:p>
    <w:p>
      <w:pPr>
        <w:keepNext w:val="0"/>
        <w:keepLines w:val="0"/>
        <w:widowControl w:val="0"/>
        <w:suppressLineNumbers w:val="0"/>
        <w:autoSpaceDE w:val="0"/>
        <w:autoSpaceDN/>
        <w:spacing w:before="0" w:beforeAutospacing="0" w:after="0" w:afterAutospacing="0" w:line="520" w:lineRule="exact"/>
        <w:ind w:left="0" w:right="0" w:firstLine="240" w:firstLineChars="1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乙方有权向甲方要求提供与本项目技术服务有关的资料和图纸，以及向甲方员工询问与技术服务内容有关的情况；发现甲方提供的技术资料、基础资料、工作条件不符合评价要求时，应及时通知甲方更改、更换。乙方应充分了解和考虑项目的工作内容以及履行过程中的风险。</w:t>
      </w:r>
    </w:p>
    <w:p>
      <w:pPr>
        <w:keepNext w:val="0"/>
        <w:keepLines w:val="0"/>
        <w:widowControl w:val="0"/>
        <w:suppressLineNumbers w:val="0"/>
        <w:autoSpaceDE w:val="0"/>
        <w:autoSpaceDN/>
        <w:spacing w:before="0" w:beforeAutospacing="0" w:after="0" w:afterAutospacing="0" w:line="520" w:lineRule="exact"/>
        <w:ind w:left="0" w:right="0" w:firstLine="240" w:firstLineChars="1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（2）乙方有权要求甲方按合同约定支付技术服务费用。</w:t>
      </w:r>
    </w:p>
    <w:p>
      <w:pPr>
        <w:keepNext w:val="0"/>
        <w:keepLines w:val="0"/>
        <w:widowControl w:val="0"/>
        <w:suppressLineNumbers w:val="0"/>
        <w:autoSpaceDE w:val="0"/>
        <w:autoSpaceDN/>
        <w:spacing w:before="0" w:beforeAutospacing="0" w:after="0" w:afterAutospacing="0" w:line="520" w:lineRule="exact"/>
        <w:ind w:left="0" w:right="0" w:firstLine="240" w:firstLineChars="1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（3）乙方保证工作质量，按时完成</w:t>
      </w:r>
      <w:r>
        <w:rPr>
          <w:rFonts w:hint="eastAsia" w:ascii="宋体" w:hAnsi="宋体" w:eastAsia="宋体" w:cs="宋体"/>
          <w:b w:val="0"/>
          <w:bCs w:val="0"/>
          <w:kern w:val="0"/>
          <w:sz w:val="24"/>
          <w:szCs w:val="24"/>
          <w:lang w:val="en-US" w:eastAsia="zh-CN" w:bidi="ar"/>
        </w:rPr>
        <w:t>入河排污口论证报告（含监测）、环境影响评价报告表（含监测）、环境保护竣工验收报告（含监测）</w:t>
      </w:r>
      <w:r>
        <w:rPr>
          <w:rFonts w:hint="eastAsia" w:ascii="宋体" w:hAnsi="宋体" w:eastAsia="宋体" w:cs="宋体"/>
          <w:kern w:val="2"/>
          <w:sz w:val="24"/>
          <w:szCs w:val="24"/>
          <w:lang w:val="en-US" w:eastAsia="zh-CN" w:bidi="ar"/>
        </w:rPr>
        <w:t>的编制工作，并通过主管部门审批；</w:t>
      </w:r>
    </w:p>
    <w:p>
      <w:pPr>
        <w:keepNext w:val="0"/>
        <w:keepLines w:val="0"/>
        <w:widowControl w:val="0"/>
        <w:suppressLineNumbers w:val="0"/>
        <w:autoSpaceDE w:val="0"/>
        <w:autoSpaceDN/>
        <w:spacing w:before="0" w:beforeAutospacing="0" w:after="0" w:afterAutospacing="0" w:line="520" w:lineRule="exact"/>
        <w:ind w:left="0" w:right="0" w:firstLine="240" w:firstLineChars="1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（4）乙方应主动沟通和协调处理编制、验收及批复过程中的一切事务。</w:t>
      </w:r>
    </w:p>
    <w:p>
      <w:pPr>
        <w:keepNext w:val="0"/>
        <w:keepLines w:val="0"/>
        <w:widowControl w:val="0"/>
        <w:suppressLineNumbers w:val="0"/>
        <w:spacing w:before="0" w:beforeAutospacing="0" w:after="0" w:afterAutospacing="0" w:line="520" w:lineRule="exact"/>
        <w:ind w:left="0" w:right="0" w:firstLine="240" w:firstLineChars="1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 xml:space="preserve">（5）为甲方提供本项目的技术支持和配合，对甲方提供的资料保密。   </w:t>
      </w:r>
    </w:p>
    <w:p>
      <w:pPr>
        <w:keepNext w:val="0"/>
        <w:keepLines w:val="0"/>
        <w:widowControl w:val="0"/>
        <w:suppressLineNumbers w:val="0"/>
        <w:autoSpaceDE w:val="0"/>
        <w:autoSpaceDN/>
        <w:spacing w:before="0" w:beforeAutospacing="0" w:after="0" w:afterAutospacing="0" w:line="520" w:lineRule="exact"/>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六、违约责任</w:t>
      </w:r>
    </w:p>
    <w:p>
      <w:pPr>
        <w:keepNext w:val="0"/>
        <w:keepLines w:val="0"/>
        <w:widowControl w:val="0"/>
        <w:numPr>
          <w:ilvl w:val="0"/>
          <w:numId w:val="5"/>
        </w:numPr>
        <w:suppressLineNumbers w:val="0"/>
        <w:autoSpaceDE w:val="0"/>
        <w:autoSpaceDN/>
        <w:spacing w:before="0" w:beforeAutospacing="0" w:after="0" w:afterAutospacing="0" w:line="52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甲方逾期付款（自然灾害和人力不可抗拒的因素除外）和乙方延期完成服务成果的都应当承担违约责任，</w:t>
      </w:r>
      <w:r>
        <w:rPr>
          <w:rFonts w:hint="eastAsia" w:ascii="宋体" w:hAnsi="宋体" w:cs="宋体"/>
          <w:kern w:val="2"/>
          <w:sz w:val="24"/>
          <w:szCs w:val="24"/>
          <w:lang w:val="en-US" w:eastAsia="zh-CN" w:bidi="ar"/>
        </w:rPr>
        <w:t>每逾期付款/逾期交付服务成果一日，</w:t>
      </w:r>
      <w:r>
        <w:rPr>
          <w:rFonts w:hint="eastAsia" w:ascii="宋体" w:hAnsi="宋体" w:eastAsia="宋体" w:cs="宋体"/>
          <w:kern w:val="2"/>
          <w:sz w:val="24"/>
          <w:szCs w:val="24"/>
          <w:lang w:val="en-US" w:eastAsia="zh-CN" w:bidi="ar"/>
        </w:rPr>
        <w:t>违约方按合同总额的</w:t>
      </w:r>
      <w:r>
        <w:rPr>
          <w:rFonts w:hint="eastAsia" w:ascii="宋体" w:hAnsi="宋体" w:cs="宋体"/>
          <w:kern w:val="2"/>
          <w:sz w:val="24"/>
          <w:szCs w:val="24"/>
          <w:lang w:val="en-US" w:eastAsia="zh-CN" w:bidi="ar"/>
        </w:rPr>
        <w:t>千</w:t>
      </w:r>
      <w:r>
        <w:rPr>
          <w:rFonts w:hint="eastAsia" w:ascii="宋体" w:hAnsi="宋体" w:eastAsia="宋体" w:cs="宋体"/>
          <w:kern w:val="2"/>
          <w:sz w:val="24"/>
          <w:szCs w:val="24"/>
          <w:lang w:val="en-US" w:eastAsia="zh-CN" w:bidi="ar"/>
        </w:rPr>
        <w:t>分之三向守约方支付违约金，但违约金总额不能超过本合同总额的10%。</w:t>
      </w:r>
    </w:p>
    <w:p>
      <w:pPr>
        <w:keepNext w:val="0"/>
        <w:keepLines w:val="0"/>
        <w:widowControl w:val="0"/>
        <w:numPr>
          <w:ilvl w:val="0"/>
          <w:numId w:val="5"/>
        </w:numPr>
        <w:suppressLineNumbers w:val="0"/>
        <w:spacing w:before="0" w:beforeAutospacing="0" w:after="0" w:afterAutospacing="0" w:line="520" w:lineRule="exact"/>
        <w:ind w:left="0" w:leftChars="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乙方未按合同约定时间递交本项目服务成果的，经甲方书面催告后10日内仍未提供的，甲方有权解除合同，并没收乙方缴纳的全部履约保证金。</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3、因任何一方原因导致合同解除的，过错方应向相对方支付合同总金额10%的违约金。</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4、由于乙方的违约行为而给另一方造成损失的，应承担相应的赔偿责任</w:t>
      </w:r>
      <w:r>
        <w:rPr>
          <w:rFonts w:hint="eastAsia" w:ascii="宋体" w:hAnsi="宋体" w:eastAsia="宋体" w:cs="宋体"/>
          <w:color w:val="000000"/>
          <w:kern w:val="2"/>
          <w:sz w:val="24"/>
          <w:szCs w:val="24"/>
          <w:lang w:val="en-US" w:eastAsia="zh-CN" w:bidi="ar"/>
        </w:rPr>
        <w:t>。</w:t>
      </w:r>
    </w:p>
    <w:p>
      <w:pPr>
        <w:pStyle w:val="2"/>
        <w:keepNext w:val="0"/>
        <w:keepLines w:val="0"/>
        <w:widowControl w:val="0"/>
        <w:suppressLineNumbers w:val="0"/>
        <w:autoSpaceDE w:val="0"/>
        <w:autoSpaceDN/>
        <w:spacing w:before="100" w:beforeAutospacing="1" w:line="400" w:lineRule="exact"/>
        <w:ind w:left="0" w:right="213"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rPr>
        <w:t>七、合同变更、解除和终止</w:t>
      </w:r>
    </w:p>
    <w:p>
      <w:pPr>
        <w:pStyle w:val="2"/>
        <w:keepNext w:val="0"/>
        <w:keepLines w:val="0"/>
        <w:widowControl w:val="0"/>
        <w:suppressLineNumbers w:val="0"/>
        <w:autoSpaceDE w:val="0"/>
        <w:autoSpaceDN/>
        <w:spacing w:before="100" w:beforeAutospacing="1" w:line="400" w:lineRule="exact"/>
        <w:ind w:left="0" w:right="213"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1、任意一方就合同履行有变更，应与相对方协商一致，签署补充协议。</w:t>
      </w:r>
    </w:p>
    <w:p>
      <w:pPr>
        <w:pStyle w:val="2"/>
        <w:keepNext w:val="0"/>
        <w:keepLines w:val="0"/>
        <w:widowControl w:val="0"/>
        <w:suppressLineNumbers w:val="0"/>
        <w:autoSpaceDE w:val="0"/>
        <w:autoSpaceDN/>
        <w:spacing w:before="100" w:beforeAutospacing="1" w:line="400" w:lineRule="exact"/>
        <w:ind w:left="0" w:right="213"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2、出现下列情形的，相对方有权解除合同，并要求过错方承担违约责任：</w:t>
      </w:r>
    </w:p>
    <w:p>
      <w:pPr>
        <w:pStyle w:val="2"/>
        <w:keepNext w:val="0"/>
        <w:keepLines w:val="0"/>
        <w:widowControl w:val="0"/>
        <w:suppressLineNumbers w:val="0"/>
        <w:autoSpaceDE w:val="0"/>
        <w:autoSpaceDN/>
        <w:spacing w:before="100" w:beforeAutospacing="1" w:line="400" w:lineRule="exact"/>
        <w:ind w:left="0" w:right="213"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（1）双方协商一致；</w:t>
      </w:r>
    </w:p>
    <w:p>
      <w:pPr>
        <w:pStyle w:val="2"/>
        <w:keepNext w:val="0"/>
        <w:keepLines w:val="0"/>
        <w:widowControl w:val="0"/>
        <w:suppressLineNumbers w:val="0"/>
        <w:autoSpaceDE w:val="0"/>
        <w:autoSpaceDN/>
        <w:spacing w:before="100" w:beforeAutospacing="1" w:line="400" w:lineRule="exact"/>
        <w:ind w:left="0" w:right="213"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（2）因不可抗力致使合同无法履行；</w:t>
      </w:r>
    </w:p>
    <w:p>
      <w:pPr>
        <w:pStyle w:val="2"/>
        <w:keepNext w:val="0"/>
        <w:keepLines w:val="0"/>
        <w:widowControl w:val="0"/>
        <w:suppressLineNumbers w:val="0"/>
        <w:autoSpaceDE w:val="0"/>
        <w:autoSpaceDN/>
        <w:spacing w:before="100" w:beforeAutospacing="1" w:line="400" w:lineRule="exact"/>
        <w:ind w:left="0" w:right="213"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（3）因甲方不按约支付服务费用，经乙方催告后10个工作日内仍不支付的；</w:t>
      </w:r>
    </w:p>
    <w:p>
      <w:pPr>
        <w:pStyle w:val="2"/>
        <w:keepNext w:val="0"/>
        <w:keepLines w:val="0"/>
        <w:widowControl w:val="0"/>
        <w:suppressLineNumbers w:val="0"/>
        <w:autoSpaceDE w:val="0"/>
        <w:autoSpaceDN/>
        <w:spacing w:before="100" w:beforeAutospacing="1" w:line="400" w:lineRule="exact"/>
        <w:ind w:left="0" w:right="213"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（4）因乙方不按合同约定提供服务成果，经甲方催告后10日内仍不履行的；</w:t>
      </w:r>
    </w:p>
    <w:p>
      <w:pPr>
        <w:pStyle w:val="2"/>
        <w:keepNext w:val="0"/>
        <w:keepLines w:val="0"/>
        <w:widowControl w:val="0"/>
        <w:suppressLineNumbers w:val="0"/>
        <w:autoSpaceDE w:val="0"/>
        <w:autoSpaceDN/>
        <w:spacing w:before="100" w:beforeAutospacing="1" w:line="400" w:lineRule="exact"/>
        <w:ind w:left="0" w:right="213"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（5）一方明示或者以行为默示方式，表明不履行合同约定的；</w:t>
      </w:r>
    </w:p>
    <w:p>
      <w:pPr>
        <w:pStyle w:val="2"/>
        <w:keepNext w:val="0"/>
        <w:keepLines w:val="0"/>
        <w:widowControl w:val="0"/>
        <w:suppressLineNumbers w:val="0"/>
        <w:autoSpaceDE w:val="0"/>
        <w:autoSpaceDN/>
        <w:spacing w:before="100" w:beforeAutospacing="1" w:line="400" w:lineRule="exact"/>
        <w:ind w:left="0" w:right="213"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（6）其他违反合同约定行为，导致合同目的不能实现，经相对方催告后仍不履行的；</w:t>
      </w:r>
    </w:p>
    <w:p>
      <w:pPr>
        <w:pStyle w:val="2"/>
        <w:keepNext w:val="0"/>
        <w:keepLines w:val="0"/>
        <w:widowControl w:val="0"/>
        <w:suppressLineNumbers w:val="0"/>
        <w:autoSpaceDE w:val="0"/>
        <w:autoSpaceDN/>
        <w:spacing w:before="100" w:beforeAutospacing="1" w:line="400" w:lineRule="exact"/>
        <w:ind w:left="0" w:right="213"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（7）违反廉洁条款的行为，如因乙方违反廉洁条款导致合同解除的，甲方有权将乙方纳入不诚信供应商名单，并禁止乙方参加甲方组织的一切投标采购活动。</w:t>
      </w:r>
    </w:p>
    <w:p>
      <w:pPr>
        <w:pStyle w:val="2"/>
        <w:keepNext w:val="0"/>
        <w:keepLines w:val="0"/>
        <w:widowControl w:val="0"/>
        <w:suppressLineNumbers w:val="0"/>
        <w:autoSpaceDE w:val="0"/>
        <w:autoSpaceDN/>
        <w:spacing w:before="100" w:beforeAutospacing="1" w:line="400" w:lineRule="exact"/>
        <w:ind w:left="0" w:right="213"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rPr>
        <w:t>八、争议的解决</w:t>
      </w:r>
    </w:p>
    <w:p>
      <w:pPr>
        <w:pStyle w:val="2"/>
        <w:keepNext w:val="0"/>
        <w:keepLines w:val="0"/>
        <w:widowControl w:val="0"/>
        <w:suppressLineNumbers w:val="0"/>
        <w:autoSpaceDE w:val="0"/>
        <w:autoSpaceDN/>
        <w:spacing w:before="100" w:beforeAutospacing="1" w:line="400" w:lineRule="exact"/>
        <w:ind w:left="0" w:right="213"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 合同履行期间,若双方发生争议，双方本着友好合作的态度，对合同履行过程中发生的违约行为进行及时的协商解决，如不能协商解决可采取（1）方式解决。</w:t>
      </w:r>
    </w:p>
    <w:p>
      <w:pPr>
        <w:pStyle w:val="2"/>
        <w:keepNext w:val="0"/>
        <w:keepLines w:val="0"/>
        <w:widowControl w:val="0"/>
        <w:suppressLineNumbers w:val="0"/>
        <w:autoSpaceDE w:val="0"/>
        <w:autoSpaceDN/>
        <w:spacing w:before="100" w:beforeAutospacing="1" w:line="400" w:lineRule="exact"/>
        <w:ind w:left="0" w:right="213"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（1）向甲方住所地法院通过诉讼解决。</w:t>
      </w:r>
    </w:p>
    <w:p>
      <w:pPr>
        <w:pStyle w:val="2"/>
        <w:keepNext w:val="0"/>
        <w:keepLines w:val="0"/>
        <w:widowControl w:val="0"/>
        <w:suppressLineNumbers w:val="0"/>
        <w:autoSpaceDE w:val="0"/>
        <w:autoSpaceDN/>
        <w:spacing w:before="100" w:beforeAutospacing="1" w:line="400" w:lineRule="exact"/>
        <w:ind w:left="0" w:right="213"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（2）向泸州仲裁委提请仲裁解决。</w:t>
      </w:r>
    </w:p>
    <w:p>
      <w:pPr>
        <w:pStyle w:val="2"/>
        <w:keepNext w:val="0"/>
        <w:keepLines w:val="0"/>
        <w:widowControl w:val="0"/>
        <w:suppressLineNumbers w:val="0"/>
        <w:autoSpaceDE w:val="0"/>
        <w:autoSpaceDN/>
        <w:spacing w:before="100" w:beforeAutospacing="1" w:line="400" w:lineRule="exact"/>
        <w:ind w:left="0" w:right="213"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采取诉讼方式解决争议的，违约方还应承担由此给相对方造成的一切经济损失，包括但不限于诉讼费、律师费、保险保全费、公告费、鉴定费等。</w:t>
      </w:r>
    </w:p>
    <w:p>
      <w:pPr>
        <w:pStyle w:val="2"/>
        <w:keepNext w:val="0"/>
        <w:keepLines w:val="0"/>
        <w:widowControl w:val="0"/>
        <w:suppressLineNumbers w:val="0"/>
        <w:autoSpaceDE w:val="0"/>
        <w:autoSpaceDN/>
        <w:spacing w:before="100" w:beforeAutospacing="1" w:line="400" w:lineRule="exact"/>
        <w:ind w:left="0" w:right="213"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rPr>
        <w:t>九、通知和送达</w:t>
      </w:r>
    </w:p>
    <w:p>
      <w:pPr>
        <w:pStyle w:val="2"/>
        <w:keepNext w:val="0"/>
        <w:keepLines w:val="0"/>
        <w:widowControl w:val="0"/>
        <w:suppressLineNumbers w:val="0"/>
        <w:autoSpaceDE w:val="0"/>
        <w:autoSpaceDN/>
        <w:spacing w:before="100" w:beforeAutospacing="1" w:line="400" w:lineRule="exact"/>
        <w:ind w:left="0" w:right="213"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1、任何一方向对方发出的通知或其他往来文件（以下简称“往来文件”），应按照本</w:t>
      </w:r>
      <w:r>
        <w:rPr>
          <w:rFonts w:hint="eastAsia" w:ascii="宋体" w:hAnsi="宋体" w:cs="宋体"/>
          <w:kern w:val="2"/>
          <w:sz w:val="24"/>
          <w:szCs w:val="24"/>
          <w:lang w:val="en-US" w:eastAsia="zh-CN"/>
        </w:rPr>
        <w:t>合同尾部</w:t>
      </w:r>
      <w:r>
        <w:rPr>
          <w:rFonts w:hint="eastAsia" w:ascii="宋体" w:hAnsi="宋体" w:eastAsia="宋体" w:cs="宋体"/>
          <w:kern w:val="2"/>
          <w:sz w:val="24"/>
          <w:szCs w:val="24"/>
        </w:rPr>
        <w:t>记载的另一方的联系方式，用邮政特快、电子邮件、手机短信或专人送达方式发出，并在下述条件下送达生效：</w:t>
      </w:r>
    </w:p>
    <w:p>
      <w:pPr>
        <w:pStyle w:val="2"/>
        <w:keepNext w:val="0"/>
        <w:keepLines w:val="0"/>
        <w:widowControl w:val="0"/>
        <w:suppressLineNumbers w:val="0"/>
        <w:autoSpaceDE w:val="0"/>
        <w:autoSpaceDN/>
        <w:spacing w:before="100" w:beforeAutospacing="1" w:line="400" w:lineRule="exact"/>
        <w:ind w:left="0" w:right="213"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（1）以特快专递方式发出的，以收件人签收日为送达日；收件人未签收的，以寄出日后的第五个工作日视为送达；</w:t>
      </w:r>
    </w:p>
    <w:p>
      <w:pPr>
        <w:pStyle w:val="2"/>
        <w:keepNext w:val="0"/>
        <w:keepLines w:val="0"/>
        <w:widowControl w:val="0"/>
        <w:suppressLineNumbers w:val="0"/>
        <w:autoSpaceDE w:val="0"/>
        <w:autoSpaceDN/>
        <w:spacing w:before="100" w:beforeAutospacing="1" w:line="400" w:lineRule="exact"/>
        <w:ind w:left="0" w:right="213"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（2）以手机短信或电子邮件方式发出的，以发出方收到手机或电子邮件发出确认回执时视为送达；</w:t>
      </w:r>
    </w:p>
    <w:p>
      <w:pPr>
        <w:pStyle w:val="2"/>
        <w:keepNext w:val="0"/>
        <w:keepLines w:val="0"/>
        <w:widowControl w:val="0"/>
        <w:suppressLineNumbers w:val="0"/>
        <w:autoSpaceDE w:val="0"/>
        <w:autoSpaceDN/>
        <w:spacing w:before="100" w:beforeAutospacing="1" w:line="400" w:lineRule="exact"/>
        <w:ind w:left="0" w:right="213"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（3）如对方不在的，由对方公司职工签收，若对方拒绝签收的，由两名送达工作人员签字见证，留置送达。                                                      </w:t>
      </w:r>
    </w:p>
    <w:p>
      <w:pPr>
        <w:pStyle w:val="2"/>
        <w:keepNext w:val="0"/>
        <w:keepLines w:val="0"/>
        <w:widowControl w:val="0"/>
        <w:suppressLineNumbers w:val="0"/>
        <w:autoSpaceDE w:val="0"/>
        <w:autoSpaceDN/>
        <w:spacing w:before="100" w:beforeAutospacing="1" w:line="400" w:lineRule="exact"/>
        <w:ind w:left="0" w:right="213"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同时采用上述几种方式的，以其中最快到达对方的为准。</w:t>
      </w:r>
    </w:p>
    <w:p>
      <w:pPr>
        <w:pStyle w:val="2"/>
        <w:keepNext w:val="0"/>
        <w:keepLines w:val="0"/>
        <w:widowControl w:val="0"/>
        <w:suppressLineNumbers w:val="0"/>
        <w:autoSpaceDE w:val="0"/>
        <w:autoSpaceDN/>
        <w:spacing w:before="100" w:beforeAutospacing="1" w:line="400" w:lineRule="exact"/>
        <w:ind w:left="0" w:right="213"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2、本</w:t>
      </w:r>
      <w:r>
        <w:rPr>
          <w:rFonts w:hint="eastAsia" w:ascii="宋体" w:hAnsi="宋体" w:cs="宋体"/>
          <w:kern w:val="2"/>
          <w:sz w:val="24"/>
          <w:szCs w:val="24"/>
          <w:lang w:val="en-US" w:eastAsia="zh-CN"/>
        </w:rPr>
        <w:t>合同尾部记载</w:t>
      </w:r>
      <w:r>
        <w:rPr>
          <w:rFonts w:hint="eastAsia" w:ascii="宋体" w:hAnsi="宋体" w:eastAsia="宋体" w:cs="宋体"/>
          <w:kern w:val="2"/>
          <w:sz w:val="24"/>
          <w:szCs w:val="24"/>
        </w:rPr>
        <w:t>的联系方式发生变更，变更方应及时书面通知另一方。另一方在收到有关变更前的联系方式所发出的往来文件视为有效。</w:t>
      </w:r>
    </w:p>
    <w:p>
      <w:pPr>
        <w:pStyle w:val="2"/>
        <w:keepNext w:val="0"/>
        <w:keepLines w:val="0"/>
        <w:widowControl w:val="0"/>
        <w:suppressLineNumbers w:val="0"/>
        <w:autoSpaceDE w:val="0"/>
        <w:autoSpaceDN/>
        <w:spacing w:before="100" w:beforeAutospacing="1" w:line="400" w:lineRule="exact"/>
        <w:ind w:left="0" w:right="213"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3、本合同</w:t>
      </w:r>
      <w:r>
        <w:rPr>
          <w:rFonts w:hint="eastAsia" w:ascii="宋体" w:hAnsi="宋体" w:cs="宋体"/>
          <w:kern w:val="2"/>
          <w:sz w:val="24"/>
          <w:szCs w:val="24"/>
          <w:lang w:val="en-US" w:eastAsia="zh-CN"/>
        </w:rPr>
        <w:t>尾部记</w:t>
      </w:r>
      <w:r>
        <w:rPr>
          <w:rFonts w:hint="eastAsia" w:ascii="宋体" w:hAnsi="宋体" w:eastAsia="宋体" w:cs="宋体"/>
          <w:kern w:val="2"/>
          <w:sz w:val="24"/>
          <w:szCs w:val="24"/>
        </w:rPr>
        <w:t>载</w:t>
      </w:r>
      <w:r>
        <w:rPr>
          <w:rFonts w:hint="eastAsia" w:ascii="宋体" w:hAnsi="宋体" w:cs="宋体"/>
          <w:kern w:val="2"/>
          <w:sz w:val="24"/>
          <w:szCs w:val="24"/>
          <w:lang w:val="en-US" w:eastAsia="zh-CN"/>
        </w:rPr>
        <w:t>的</w:t>
      </w:r>
      <w:r>
        <w:rPr>
          <w:rFonts w:hint="eastAsia" w:ascii="宋体" w:hAnsi="宋体" w:eastAsia="宋体" w:cs="宋体"/>
          <w:kern w:val="2"/>
          <w:sz w:val="24"/>
          <w:szCs w:val="24"/>
        </w:rPr>
        <w:t>地址也是司法机关司法文书送达地址。</w:t>
      </w:r>
    </w:p>
    <w:p>
      <w:pPr>
        <w:keepNext w:val="0"/>
        <w:keepLines w:val="0"/>
        <w:widowControl w:val="0"/>
        <w:suppressLineNumbers w:val="0"/>
        <w:autoSpaceDE w:val="0"/>
        <w:autoSpaceDN/>
        <w:spacing w:before="0" w:beforeAutospacing="0" w:after="0" w:afterAutospacing="0" w:line="520" w:lineRule="exact"/>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十、合同生效要件</w:t>
      </w:r>
    </w:p>
    <w:p>
      <w:pPr>
        <w:keepNext w:val="0"/>
        <w:keepLines w:val="0"/>
        <w:widowControl w:val="0"/>
        <w:suppressLineNumbers w:val="0"/>
        <w:autoSpaceDE w:val="0"/>
        <w:autoSpaceDN/>
        <w:spacing w:before="0" w:beforeAutospacing="0" w:after="0" w:afterAutospacing="0" w:line="52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1、本合同自</w:t>
      </w:r>
      <w:r>
        <w:rPr>
          <w:rFonts w:hint="eastAsia" w:ascii="宋体" w:hAnsi="宋体" w:eastAsia="宋体" w:cs="宋体"/>
          <w:b w:val="0"/>
          <w:bCs w:val="0"/>
          <w:kern w:val="2"/>
          <w:sz w:val="24"/>
          <w:szCs w:val="24"/>
          <w:lang w:val="en-US" w:eastAsia="zh-CN" w:bidi="ar"/>
        </w:rPr>
        <w:t>双方法定（授权）代表人签章或签字并加盖单位公章或合同专用章后之日起生效。本协议生效后，与原合同具有同等法律效力。</w:t>
      </w:r>
      <w:r>
        <w:rPr>
          <w:rFonts w:hint="eastAsia" w:ascii="宋体" w:hAnsi="宋体" w:eastAsia="宋体" w:cs="宋体"/>
          <w:kern w:val="2"/>
          <w:sz w:val="24"/>
          <w:szCs w:val="24"/>
          <w:lang w:val="en-US" w:eastAsia="zh-CN" w:bidi="ar"/>
        </w:rPr>
        <w:t>。</w:t>
      </w:r>
    </w:p>
    <w:p>
      <w:pPr>
        <w:pStyle w:val="2"/>
        <w:widowControl/>
        <w:spacing w:before="100" w:beforeAutospacing="1"/>
        <w:ind w:left="0" w:right="0" w:firstLine="480"/>
        <w:rPr>
          <w:rFonts w:hint="eastAsia" w:ascii="宋体" w:hAnsi="宋体" w:eastAsia="宋体" w:cs="宋体"/>
          <w:kern w:val="2"/>
          <w:sz w:val="24"/>
          <w:szCs w:val="24"/>
        </w:rPr>
      </w:pPr>
      <w:r>
        <w:rPr>
          <w:rFonts w:hint="eastAsia" w:ascii="宋体" w:hAnsi="宋体" w:eastAsia="宋体" w:cs="宋体"/>
          <w:kern w:val="2"/>
          <w:sz w:val="24"/>
          <w:szCs w:val="24"/>
        </w:rPr>
        <w:t>2、本合同正本一式叁份，具有同等法律效力，甲方贰份，乙方贰份。</w:t>
      </w:r>
    </w:p>
    <w:p>
      <w:pPr>
        <w:pStyle w:val="2"/>
        <w:widowControl/>
        <w:spacing w:before="100" w:beforeAutospacing="1"/>
        <w:ind w:left="0" w:right="0" w:firstLine="480"/>
        <w:rPr>
          <w:rFonts w:hint="eastAsia" w:ascii="宋体" w:hAnsi="宋体" w:eastAsia="宋体" w:cs="宋体"/>
          <w:kern w:val="2"/>
          <w:sz w:val="24"/>
          <w:szCs w:val="24"/>
        </w:rPr>
      </w:pPr>
      <w:r>
        <w:rPr>
          <w:rFonts w:hint="eastAsia" w:ascii="宋体" w:hAnsi="宋体" w:eastAsia="宋体" w:cs="宋体"/>
          <w:kern w:val="2"/>
          <w:sz w:val="24"/>
          <w:szCs w:val="24"/>
        </w:rPr>
        <w:t xml:space="preserve"> </w:t>
      </w:r>
    </w:p>
    <w:p>
      <w:pPr>
        <w:pStyle w:val="2"/>
        <w:widowControl/>
        <w:spacing w:before="100" w:beforeAutospacing="1"/>
        <w:ind w:left="0" w:right="0" w:firstLine="480"/>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rPr>
        <w:t xml:space="preserve"> </w:t>
      </w:r>
    </w:p>
    <w:tbl>
      <w:tblPr>
        <w:tblStyle w:val="19"/>
        <w:tblW w:w="0" w:type="auto"/>
        <w:tblInd w:w="272"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9"/>
        <w:gridCol w:w="4261"/>
      </w:tblGrid>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3989" w:type="dxa"/>
            <w:tcBorders>
              <w:top w:val="nil"/>
              <w:left w:val="nil"/>
              <w:bottom w:val="nil"/>
              <w:right w:val="nil"/>
            </w:tcBorders>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甲方：（盖章）</w:t>
            </w:r>
          </w:p>
        </w:tc>
        <w:tc>
          <w:tcPr>
            <w:tcW w:w="4261" w:type="dxa"/>
            <w:tcBorders>
              <w:top w:val="nil"/>
              <w:left w:val="nil"/>
              <w:bottom w:val="nil"/>
              <w:right w:val="nil"/>
            </w:tcBorders>
            <w:noWrap w:val="0"/>
            <w:vAlign w:val="top"/>
          </w:tcPr>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乙 方：（盖章）</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3989" w:type="dxa"/>
            <w:tcBorders>
              <w:top w:val="nil"/>
              <w:left w:val="nil"/>
              <w:bottom w:val="nil"/>
              <w:right w:val="nil"/>
            </w:tcBorders>
            <w:noWrap w:val="0"/>
            <w:vAlign w:val="top"/>
          </w:tcPr>
          <w:p>
            <w:pPr>
              <w:keepNext w:val="0"/>
              <w:keepLines w:val="0"/>
              <w:widowControl/>
              <w:suppressLineNumbers w:val="0"/>
              <w:autoSpaceDE w:val="0"/>
              <w:autoSpaceDN/>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法定代表人或授权代表人</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（签章）：</w:t>
            </w:r>
          </w:p>
        </w:tc>
        <w:tc>
          <w:tcPr>
            <w:tcW w:w="4261" w:type="dxa"/>
            <w:tcBorders>
              <w:top w:val="nil"/>
              <w:left w:val="nil"/>
              <w:bottom w:val="nil"/>
              <w:right w:val="nil"/>
            </w:tcBorders>
            <w:noWrap w:val="0"/>
            <w:vAlign w:val="top"/>
          </w:tcPr>
          <w:p>
            <w:pPr>
              <w:keepNext w:val="0"/>
              <w:keepLines w:val="0"/>
              <w:widowControl/>
              <w:suppressLineNumbers w:val="0"/>
              <w:autoSpaceDE w:val="0"/>
              <w:autoSpaceDN/>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法定代表人或授权代表人</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（签章）： </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989" w:type="dxa"/>
            <w:tcBorders>
              <w:top w:val="nil"/>
              <w:left w:val="nil"/>
              <w:bottom w:val="nil"/>
              <w:right w:val="nil"/>
            </w:tcBorders>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开户银行：</w:t>
            </w:r>
          </w:p>
        </w:tc>
        <w:tc>
          <w:tcPr>
            <w:tcW w:w="4261" w:type="dxa"/>
            <w:tcBorders>
              <w:top w:val="nil"/>
              <w:left w:val="nil"/>
              <w:bottom w:val="nil"/>
              <w:right w:val="nil"/>
            </w:tcBorders>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开户银行：</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989" w:type="dxa"/>
            <w:tcBorders>
              <w:top w:val="nil"/>
              <w:left w:val="nil"/>
              <w:bottom w:val="nil"/>
              <w:right w:val="nil"/>
            </w:tcBorders>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账    号：    </w:t>
            </w:r>
          </w:p>
        </w:tc>
        <w:tc>
          <w:tcPr>
            <w:tcW w:w="4261" w:type="dxa"/>
            <w:tcBorders>
              <w:top w:val="nil"/>
              <w:left w:val="nil"/>
              <w:bottom w:val="nil"/>
              <w:right w:val="nil"/>
            </w:tcBorders>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账    号：    </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989" w:type="dxa"/>
            <w:tcBorders>
              <w:top w:val="nil"/>
              <w:left w:val="nil"/>
              <w:bottom w:val="nil"/>
              <w:right w:val="nil"/>
            </w:tcBorders>
            <w:noWrap w:val="0"/>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4"/>
                <w:szCs w:val="24"/>
                <w:lang w:val="en-US" w:eastAsia="zh-CN" w:bidi="ar"/>
              </w:rPr>
            </w:pPr>
            <w:r>
              <w:rPr>
                <w:rFonts w:hint="eastAsia" w:ascii="宋体" w:hAnsi="宋体" w:cs="宋体"/>
                <w:kern w:val="2"/>
                <w:sz w:val="24"/>
                <w:szCs w:val="24"/>
                <w:lang w:val="en-US" w:eastAsia="zh-CN" w:bidi="ar"/>
              </w:rPr>
              <w:t>联系人及联系方式：</w:t>
            </w:r>
          </w:p>
        </w:tc>
        <w:tc>
          <w:tcPr>
            <w:tcW w:w="4261" w:type="dxa"/>
            <w:tcBorders>
              <w:top w:val="nil"/>
              <w:left w:val="nil"/>
              <w:bottom w:val="nil"/>
              <w:right w:val="nil"/>
            </w:tcBorders>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lang w:val="en-US" w:eastAsia="zh-CN" w:bidi="ar"/>
              </w:rPr>
            </w:pPr>
            <w:r>
              <w:rPr>
                <w:rFonts w:hint="eastAsia" w:ascii="宋体" w:hAnsi="宋体" w:cs="宋体"/>
                <w:kern w:val="2"/>
                <w:sz w:val="24"/>
                <w:szCs w:val="24"/>
                <w:lang w:val="en-US" w:eastAsia="zh-CN" w:bidi="ar"/>
              </w:rPr>
              <w:t>联系人及联系方式：</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989" w:type="dxa"/>
            <w:tcBorders>
              <w:top w:val="nil"/>
              <w:left w:val="nil"/>
              <w:bottom w:val="nil"/>
              <w:right w:val="nil"/>
            </w:tcBorders>
            <w:noWrap w:val="0"/>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4"/>
                <w:szCs w:val="24"/>
                <w:lang w:val="en-US" w:eastAsia="zh-CN" w:bidi="ar"/>
              </w:rPr>
            </w:pPr>
            <w:r>
              <w:rPr>
                <w:rFonts w:hint="eastAsia" w:ascii="宋体" w:hAnsi="宋体" w:cs="宋体"/>
                <w:kern w:val="2"/>
                <w:sz w:val="24"/>
                <w:szCs w:val="24"/>
                <w:lang w:val="en-US" w:eastAsia="zh-CN" w:bidi="ar"/>
              </w:rPr>
              <w:t>联系地址：</w:t>
            </w:r>
          </w:p>
        </w:tc>
        <w:tc>
          <w:tcPr>
            <w:tcW w:w="4261" w:type="dxa"/>
            <w:tcBorders>
              <w:top w:val="nil"/>
              <w:left w:val="nil"/>
              <w:bottom w:val="nil"/>
              <w:right w:val="nil"/>
            </w:tcBorders>
            <w:noWrap w:val="0"/>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4"/>
                <w:szCs w:val="24"/>
                <w:lang w:val="en-US" w:eastAsia="zh-CN" w:bidi="ar"/>
              </w:rPr>
            </w:pPr>
            <w:r>
              <w:rPr>
                <w:rFonts w:hint="eastAsia" w:ascii="宋体" w:hAnsi="宋体" w:cs="宋体"/>
                <w:kern w:val="2"/>
                <w:sz w:val="24"/>
                <w:szCs w:val="24"/>
                <w:lang w:val="en-US" w:eastAsia="zh-CN" w:bidi="ar"/>
              </w:rPr>
              <w:t>联系地址：</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3989" w:type="dxa"/>
            <w:tcBorders>
              <w:top w:val="nil"/>
              <w:left w:val="nil"/>
              <w:bottom w:val="nil"/>
              <w:right w:val="nil"/>
            </w:tcBorders>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签订日期：  年  月  日 　     </w:t>
            </w:r>
          </w:p>
        </w:tc>
        <w:tc>
          <w:tcPr>
            <w:tcW w:w="4261" w:type="dxa"/>
            <w:tcBorders>
              <w:top w:val="nil"/>
              <w:left w:val="nil"/>
              <w:bottom w:val="nil"/>
              <w:right w:val="nil"/>
            </w:tcBorders>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签订日期：  年  月  日 　     </w:t>
            </w:r>
          </w:p>
        </w:tc>
      </w:tr>
    </w:tbl>
    <w:p>
      <w:pPr>
        <w:pStyle w:val="2"/>
        <w:widowControl/>
        <w:spacing w:before="100" w:beforeAutospacing="1"/>
        <w:ind w:left="0" w:right="0"/>
        <w:rPr>
          <w:rFonts w:hint="default" w:ascii="Times New Roman" w:hAnsi="Times New Roman" w:eastAsia="宋体" w:cs="Times New Roman"/>
          <w:kern w:val="2"/>
          <w:sz w:val="24"/>
          <w:szCs w:val="24"/>
        </w:rPr>
      </w:pPr>
    </w:p>
    <w:p/>
    <w:p>
      <w:pPr>
        <w:pStyle w:val="2"/>
        <w:rPr>
          <w:rFonts w:hint="default"/>
          <w:lang w:val="en-US" w:eastAsia="zh-CN"/>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7A93098-81A1-40FA-B342-B8F150CA0FA3}"/>
  </w:font>
  <w:font w:name="黑体">
    <w:panose1 w:val="02010609060101010101"/>
    <w:charset w:val="86"/>
    <w:family w:val="auto"/>
    <w:pitch w:val="default"/>
    <w:sig w:usb0="800002BF" w:usb1="38CF7CFA" w:usb2="00000016" w:usb3="00000000" w:csb0="00040001" w:csb1="00000000"/>
    <w:embedRegular r:id="rId2" w:fontKey="{4A643A1A-47EE-4F5F-A7DF-5B831133366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方正仿宋简体">
    <w:panose1 w:val="02000000000000000000"/>
    <w:charset w:val="86"/>
    <w:family w:val="auto"/>
    <w:pitch w:val="default"/>
    <w:sig w:usb0="00000001" w:usb1="080E0000" w:usb2="00000000" w:usb3="00000000" w:csb0="00040000" w:csb1="00000000"/>
    <w:embedRegular r:id="rId3" w:fontKey="{C128801C-457A-465D-A56F-CA624FF52F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21"/>
                              <w:rFonts w:ascii="宋体" w:hAnsi="宋体"/>
                              <w:sz w:val="28"/>
                              <w:szCs w:val="28"/>
                            </w:rPr>
                          </w:pP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jc w:val="center"/>
                      <w:rPr>
                        <w:rStyle w:val="21"/>
                        <w:rFonts w:ascii="宋体" w:hAnsi="宋体"/>
                        <w:sz w:val="28"/>
                        <w:szCs w:val="28"/>
                      </w:rPr>
                    </w:pP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21"/>
      </w:rPr>
    </w:pPr>
    <w:r>
      <w:fldChar w:fldCharType="begin"/>
    </w:r>
    <w:r>
      <w:rPr>
        <w:rStyle w:val="21"/>
      </w:rPr>
      <w:instrText xml:space="preserve">PAGE  </w:instrText>
    </w:r>
    <w: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D5C1"/>
    <w:multiLevelType w:val="multilevel"/>
    <w:tmpl w:val="8406D5C1"/>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A1876F71"/>
    <w:multiLevelType w:val="singleLevel"/>
    <w:tmpl w:val="A1876F71"/>
    <w:lvl w:ilvl="0" w:tentative="0">
      <w:start w:val="1"/>
      <w:numFmt w:val="decimal"/>
      <w:lvlText w:val="%1."/>
      <w:lvlJc w:val="left"/>
      <w:pPr>
        <w:tabs>
          <w:tab w:val="left" w:pos="312"/>
        </w:tabs>
      </w:pPr>
    </w:lvl>
  </w:abstractNum>
  <w:abstractNum w:abstractNumId="2">
    <w:nsid w:val="1390B7B8"/>
    <w:multiLevelType w:val="multilevel"/>
    <w:tmpl w:val="1390B7B8"/>
    <w:lvl w:ilvl="0" w:tentative="0">
      <w:start w:val="1"/>
      <w:numFmt w:val="chineseCounting"/>
      <w:suff w:val="nothing"/>
      <w:lvlText w:val="%1、"/>
      <w:lvlJc w:val="left"/>
      <w:pPr>
        <w:ind w:left="435"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8E9C490"/>
    <w:multiLevelType w:val="multilevel"/>
    <w:tmpl w:val="18E9C490"/>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CC649AD"/>
    <w:multiLevelType w:val="singleLevel"/>
    <w:tmpl w:val="6CC649AD"/>
    <w:lvl w:ilvl="0" w:tentative="0">
      <w:start w:val="3"/>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B7553"/>
    <w:rsid w:val="001D5FB4"/>
    <w:rsid w:val="02415EFD"/>
    <w:rsid w:val="03872335"/>
    <w:rsid w:val="03C40ABE"/>
    <w:rsid w:val="041B7553"/>
    <w:rsid w:val="04730898"/>
    <w:rsid w:val="05C375FE"/>
    <w:rsid w:val="05C941F9"/>
    <w:rsid w:val="0695059B"/>
    <w:rsid w:val="06B84A84"/>
    <w:rsid w:val="07482493"/>
    <w:rsid w:val="07B73987"/>
    <w:rsid w:val="08EA75D7"/>
    <w:rsid w:val="0908212D"/>
    <w:rsid w:val="091F0582"/>
    <w:rsid w:val="09736C45"/>
    <w:rsid w:val="09AC3E76"/>
    <w:rsid w:val="0A5F5B47"/>
    <w:rsid w:val="0E7147C3"/>
    <w:rsid w:val="0FE635D7"/>
    <w:rsid w:val="106A7BFD"/>
    <w:rsid w:val="128A78B7"/>
    <w:rsid w:val="12BA6738"/>
    <w:rsid w:val="13453400"/>
    <w:rsid w:val="13D6505B"/>
    <w:rsid w:val="148A1B87"/>
    <w:rsid w:val="14C34F24"/>
    <w:rsid w:val="16226D6D"/>
    <w:rsid w:val="16894052"/>
    <w:rsid w:val="169F22A5"/>
    <w:rsid w:val="17325ACE"/>
    <w:rsid w:val="177C0207"/>
    <w:rsid w:val="19DC42E6"/>
    <w:rsid w:val="1C250273"/>
    <w:rsid w:val="1C8925AF"/>
    <w:rsid w:val="1CC6167F"/>
    <w:rsid w:val="1D55206F"/>
    <w:rsid w:val="1D707291"/>
    <w:rsid w:val="20943C19"/>
    <w:rsid w:val="20CA48D9"/>
    <w:rsid w:val="225A6FB5"/>
    <w:rsid w:val="22705D9B"/>
    <w:rsid w:val="24A24B56"/>
    <w:rsid w:val="2648711A"/>
    <w:rsid w:val="26A92517"/>
    <w:rsid w:val="278E13C2"/>
    <w:rsid w:val="2920139D"/>
    <w:rsid w:val="29A45FC8"/>
    <w:rsid w:val="29F86FC6"/>
    <w:rsid w:val="2AB87296"/>
    <w:rsid w:val="2B514BE0"/>
    <w:rsid w:val="2BF4561C"/>
    <w:rsid w:val="2BFA0AFB"/>
    <w:rsid w:val="2C363ACF"/>
    <w:rsid w:val="2D80355B"/>
    <w:rsid w:val="2DC07DFB"/>
    <w:rsid w:val="301F1190"/>
    <w:rsid w:val="30F962A3"/>
    <w:rsid w:val="31C761A0"/>
    <w:rsid w:val="35B2271F"/>
    <w:rsid w:val="35D33964"/>
    <w:rsid w:val="37F334D9"/>
    <w:rsid w:val="3ACF3768"/>
    <w:rsid w:val="3B196D9D"/>
    <w:rsid w:val="3B721219"/>
    <w:rsid w:val="3C061965"/>
    <w:rsid w:val="3C073DA3"/>
    <w:rsid w:val="3C3C53A1"/>
    <w:rsid w:val="3D6D07DF"/>
    <w:rsid w:val="3DA80CEA"/>
    <w:rsid w:val="3DF8538F"/>
    <w:rsid w:val="3E9F580B"/>
    <w:rsid w:val="3EA019BA"/>
    <w:rsid w:val="3ECB3DA6"/>
    <w:rsid w:val="3EFF77AB"/>
    <w:rsid w:val="40FB0687"/>
    <w:rsid w:val="431B31A5"/>
    <w:rsid w:val="44801B9E"/>
    <w:rsid w:val="46CE78AF"/>
    <w:rsid w:val="48F367B7"/>
    <w:rsid w:val="49F02469"/>
    <w:rsid w:val="4BE86A43"/>
    <w:rsid w:val="4C4D2043"/>
    <w:rsid w:val="4CE30FB8"/>
    <w:rsid w:val="4CF60CEC"/>
    <w:rsid w:val="4E416D41"/>
    <w:rsid w:val="52EE397E"/>
    <w:rsid w:val="59C13496"/>
    <w:rsid w:val="5C317F92"/>
    <w:rsid w:val="5EE909EF"/>
    <w:rsid w:val="5F930A53"/>
    <w:rsid w:val="60E94998"/>
    <w:rsid w:val="617E1C77"/>
    <w:rsid w:val="62BE1E54"/>
    <w:rsid w:val="63035AB9"/>
    <w:rsid w:val="636D52A1"/>
    <w:rsid w:val="63717038"/>
    <w:rsid w:val="63C90AB0"/>
    <w:rsid w:val="63CD5D94"/>
    <w:rsid w:val="64E97686"/>
    <w:rsid w:val="64F97F24"/>
    <w:rsid w:val="67035F76"/>
    <w:rsid w:val="683827EB"/>
    <w:rsid w:val="68A51AEC"/>
    <w:rsid w:val="68EF39A0"/>
    <w:rsid w:val="69B37FF0"/>
    <w:rsid w:val="6A6337C4"/>
    <w:rsid w:val="6BFE2437"/>
    <w:rsid w:val="6C110F9E"/>
    <w:rsid w:val="6D2A0CF3"/>
    <w:rsid w:val="6D640887"/>
    <w:rsid w:val="71196889"/>
    <w:rsid w:val="71813D5A"/>
    <w:rsid w:val="71A73CE2"/>
    <w:rsid w:val="71A8567D"/>
    <w:rsid w:val="74904385"/>
    <w:rsid w:val="74EE08D4"/>
    <w:rsid w:val="78650950"/>
    <w:rsid w:val="78E73524"/>
    <w:rsid w:val="79AA2DBC"/>
    <w:rsid w:val="7B305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unhideWhenUsed/>
    <w:qFormat/>
    <w:uiPriority w:val="99"/>
    <w:pPr>
      <w:ind w:firstLine="420" w:firstLineChars="200"/>
    </w:pPr>
  </w:style>
  <w:style w:type="paragraph" w:styleId="6">
    <w:name w:val="annotation text"/>
    <w:basedOn w:val="1"/>
    <w:unhideWhenUsed/>
    <w:qFormat/>
    <w:uiPriority w:val="99"/>
    <w:pPr>
      <w:jc w:val="left"/>
    </w:pPr>
  </w:style>
  <w:style w:type="paragraph" w:styleId="7">
    <w:name w:val="Body Text Indent"/>
    <w:basedOn w:val="1"/>
    <w:qFormat/>
    <w:uiPriority w:val="0"/>
    <w:pPr>
      <w:ind w:firstLine="630"/>
    </w:pPr>
    <w:rPr>
      <w:sz w:val="32"/>
      <w:szCs w:val="20"/>
    </w:rPr>
  </w:style>
  <w:style w:type="paragraph" w:styleId="8">
    <w:name w:val="toc 3"/>
    <w:basedOn w:val="1"/>
    <w:next w:val="1"/>
    <w:qFormat/>
    <w:uiPriority w:val="0"/>
    <w:pPr>
      <w:ind w:left="840" w:leftChars="400"/>
    </w:pPr>
  </w:style>
  <w:style w:type="paragraph" w:styleId="9">
    <w:name w:val="Plain Text"/>
    <w:basedOn w:val="1"/>
    <w:qFormat/>
    <w:uiPriority w:val="0"/>
    <w:pPr>
      <w:autoSpaceDE w:val="0"/>
      <w:autoSpaceDN w:val="0"/>
      <w:adjustRightInd w:val="0"/>
    </w:pPr>
    <w:rPr>
      <w:rFonts w:ascii="宋体" w:hAnsi="Times New Roman"/>
      <w:kern w:val="0"/>
      <w:szCs w:val="20"/>
    </w:rPr>
  </w:style>
  <w:style w:type="paragraph" w:styleId="10">
    <w:name w:val="footer"/>
    <w:basedOn w:val="1"/>
    <w:next w:val="11"/>
    <w:qFormat/>
    <w:uiPriority w:val="99"/>
    <w:pPr>
      <w:tabs>
        <w:tab w:val="center" w:pos="4153"/>
        <w:tab w:val="right" w:pos="8306"/>
      </w:tabs>
      <w:snapToGrid w:val="0"/>
      <w:jc w:val="left"/>
    </w:pPr>
    <w:rPr>
      <w:sz w:val="18"/>
      <w:szCs w:val="20"/>
    </w:rPr>
  </w:style>
  <w:style w:type="paragraph" w:styleId="11">
    <w:name w:val="List Paragraph"/>
    <w:basedOn w:val="1"/>
    <w:qFormat/>
    <w:uiPriority w:val="1"/>
    <w:pPr>
      <w:ind w:firstLine="420" w:firstLineChars="200"/>
    </w:pPr>
    <w:rPr>
      <w:rFonts w:ascii="Calibri" w:hAnsi="Calibri"/>
      <w:szCs w:val="22"/>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Body Text First Indent"/>
    <w:basedOn w:val="2"/>
    <w:unhideWhenUsed/>
    <w:qFormat/>
    <w:uiPriority w:val="99"/>
    <w:pPr>
      <w:ind w:firstLine="420" w:firstLineChars="100"/>
    </w:p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paragraph" w:customStyle="1" w:styleId="24">
    <w:name w:val="一级条标题"/>
    <w:basedOn w:val="25"/>
    <w:next w:val="26"/>
    <w:qFormat/>
    <w:uiPriority w:val="0"/>
    <w:pPr>
      <w:spacing w:line="240" w:lineRule="auto"/>
      <w:ind w:left="420"/>
      <w:outlineLvl w:val="2"/>
    </w:pPr>
  </w:style>
  <w:style w:type="paragraph" w:customStyle="1" w:styleId="2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0">
    <w:name w:val="标题 3 Char"/>
    <w:link w:val="4"/>
    <w:qFormat/>
    <w:uiPriority w:val="9"/>
    <w:rPr>
      <w:b/>
      <w:bCs/>
      <w:sz w:val="32"/>
      <w:szCs w:val="32"/>
    </w:rPr>
  </w:style>
  <w:style w:type="character" w:customStyle="1" w:styleId="31">
    <w:name w:val="font31"/>
    <w:basedOn w:val="20"/>
    <w:qFormat/>
    <w:uiPriority w:val="0"/>
    <w:rPr>
      <w:rFonts w:hint="eastAsia" w:ascii="宋体" w:hAnsi="宋体" w:eastAsia="宋体" w:cs="宋体"/>
      <w:color w:val="000000"/>
      <w:sz w:val="22"/>
      <w:szCs w:val="22"/>
      <w:u w:val="none"/>
    </w:rPr>
  </w:style>
  <w:style w:type="character" w:customStyle="1" w:styleId="32">
    <w:name w:val="font61"/>
    <w:basedOn w:val="20"/>
    <w:qFormat/>
    <w:uiPriority w:val="0"/>
    <w:rPr>
      <w:rFonts w:ascii="微软雅黑" w:hAnsi="微软雅黑" w:eastAsia="微软雅黑" w:cs="微软雅黑"/>
      <w:color w:val="000000"/>
      <w:sz w:val="22"/>
      <w:szCs w:val="22"/>
      <w:u w:val="none"/>
    </w:rPr>
  </w:style>
  <w:style w:type="character" w:customStyle="1" w:styleId="33">
    <w:name w:val="font21"/>
    <w:basedOn w:val="20"/>
    <w:qFormat/>
    <w:uiPriority w:val="0"/>
    <w:rPr>
      <w:rFonts w:hint="eastAsia" w:ascii="宋体" w:hAnsi="宋体" w:eastAsia="宋体" w:cs="宋体"/>
      <w:color w:val="000000"/>
      <w:sz w:val="22"/>
      <w:szCs w:val="22"/>
      <w:u w:val="none"/>
    </w:rPr>
  </w:style>
  <w:style w:type="character" w:customStyle="1" w:styleId="34">
    <w:name w:val="font71"/>
    <w:basedOn w:val="20"/>
    <w:qFormat/>
    <w:uiPriority w:val="0"/>
    <w:rPr>
      <w:rFonts w:hint="eastAsia" w:ascii="微软雅黑" w:hAnsi="微软雅黑" w:eastAsia="微软雅黑" w:cs="微软雅黑"/>
      <w:color w:val="000000"/>
      <w:sz w:val="22"/>
      <w:szCs w:val="22"/>
      <w:u w:val="none"/>
    </w:rPr>
  </w:style>
  <w:style w:type="paragraph" w:customStyle="1" w:styleId="35">
    <w:name w:val="列出段落1"/>
    <w:basedOn w:val="1"/>
    <w:qFormat/>
    <w:uiPriority w:val="34"/>
    <w:pPr>
      <w:ind w:firstLine="420" w:firstLineChars="200"/>
    </w:pPr>
    <w:rPr>
      <w:rFonts w:ascii="Calibri" w:hAnsi="Calibri" w:eastAsia="宋体" w:cs="Times New Roman"/>
      <w:szCs w:val="22"/>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character" w:customStyle="1" w:styleId="37">
    <w:name w:val="font11"/>
    <w:basedOn w:val="20"/>
    <w:qFormat/>
    <w:uiPriority w:val="0"/>
    <w:rPr>
      <w:rFonts w:hint="eastAsia" w:ascii="宋体" w:hAnsi="宋体" w:eastAsia="宋体" w:cs="宋体"/>
      <w:color w:val="000000"/>
      <w:sz w:val="28"/>
      <w:szCs w:val="28"/>
      <w:u w:val="none"/>
    </w:rPr>
  </w:style>
  <w:style w:type="character" w:customStyle="1" w:styleId="38">
    <w:name w:val="样式 宋体 小四"/>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3566</Words>
  <Characters>4021</Characters>
  <Lines>0</Lines>
  <Paragraphs>0</Paragraphs>
  <TotalTime>1</TotalTime>
  <ScaleCrop>false</ScaleCrop>
  <LinksUpToDate>false</LinksUpToDate>
  <CharactersWithSpaces>4161</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2025-04-11T09:21:00Z</dcterms:created>
  <dc:creator>Lili</dc:creator>
  <cp:lastModifiedBy>王杰</cp:lastModifiedBy>
  <cp:lastPrinted>2025-05-22T09:18:00Z</cp:lastPrinted>
  <dcterms:modified xsi:type="dcterms:W3CDTF">2025-06-24T09:02:01Z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12F6B95DC99140969DCF56014C1F9BEA_13</vt:lpwstr>
  </property>
  <property fmtid="{D5CDD505-2E9C-101B-9397-08002B2CF9AE}" pid="4" name="KSOTemplateDocerSaveRecord">
    <vt:lpwstr>eyJoZGlkIjoiY2YyYzY4NDc0ZGUzNWVhOGNiMGZiZWNiZWUzM2I3ZjEiLCJ1c2VySWQiOiI2Mjc3NjQzMjMifQ==</vt:lpwstr>
  </property>
</Properties>
</file>