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bookmarkStart w:id="140" w:name="_GoBack"/>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XYJCCG[2025]-042号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36"/>
          <w:szCs w:val="36"/>
          <w:highlight w:val="none"/>
          <w:lang w:val="en-US" w:eastAsia="zh-CN"/>
        </w:rPr>
      </w:pPr>
      <w:bookmarkStart w:id="1" w:name="OLE_LINK17"/>
      <w:r>
        <w:rPr>
          <w:rFonts w:hint="eastAsia" w:ascii="宋体" w:cs="Times New Roman"/>
          <w:b/>
          <w:color w:val="auto"/>
          <w:sz w:val="36"/>
          <w:szCs w:val="36"/>
          <w:highlight w:val="none"/>
          <w:lang w:val="en-US" w:eastAsia="zh-CN"/>
        </w:rPr>
        <w:t>泸州港龙江港区大脚石作业区一期工程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建设占用耕地耕作层土壤剥离再利用实施工程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36"/>
          <w:szCs w:val="36"/>
          <w:highlight w:val="none"/>
        </w:rPr>
      </w:pPr>
      <w:r>
        <w:rPr>
          <w:rFonts w:hint="eastAsia" w:ascii="宋体" w:cs="Times New Roman"/>
          <w:b/>
          <w:color w:val="auto"/>
          <w:sz w:val="36"/>
          <w:szCs w:val="36"/>
          <w:highlight w:val="none"/>
          <w:lang w:val="en-US" w:eastAsia="zh-CN"/>
        </w:rPr>
        <w:t>劳务等分包采购</w:t>
      </w:r>
    </w:p>
    <w:bookmarkEnd w:id="1"/>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6</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pStyle w:val="2"/>
        <w:rPr>
          <w:rFonts w:hint="eastAsia"/>
          <w:color w:val="auto"/>
          <w:highlight w:val="none"/>
        </w:rPr>
      </w:pPr>
    </w:p>
    <w:p>
      <w:pPr>
        <w:pStyle w:val="2"/>
        <w:rPr>
          <w:rFonts w:hint="eastAsia"/>
          <w:color w:val="auto"/>
          <w:highlight w:val="none"/>
        </w:rPr>
        <w:sectPr>
          <w:footerReference r:id="rId9" w:type="default"/>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4688"/>
      <w:bookmarkStart w:id="5" w:name="_Toc10019"/>
      <w:r>
        <w:rPr>
          <w:rFonts w:hint="eastAsia" w:ascii="黑体" w:hAnsi="黑体" w:eastAsia="黑体"/>
          <w:color w:val="auto"/>
          <w:sz w:val="36"/>
          <w:highlight w:val="none"/>
        </w:rPr>
        <w:t>目 录</w:t>
      </w:r>
      <w:bookmarkEnd w:id="4"/>
      <w:bookmarkEnd w:id="5"/>
    </w:p>
    <w:p>
      <w:pPr>
        <w:pStyle w:val="16"/>
        <w:tabs>
          <w:tab w:val="right" w:leader="dot" w:pos="8306"/>
        </w:tabs>
        <w:rPr>
          <w:color w:val="auto"/>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_Toc4688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rPr>
        <w:tab/>
      </w:r>
      <w:r>
        <w:rPr>
          <w:color w:val="auto"/>
        </w:rPr>
        <w:fldChar w:fldCharType="begin"/>
      </w:r>
      <w:r>
        <w:rPr>
          <w:color w:val="auto"/>
        </w:rPr>
        <w:instrText xml:space="preserve"> PAGEREF _Toc4688 \h </w:instrText>
      </w:r>
      <w:r>
        <w:rPr>
          <w:color w:val="auto"/>
        </w:rPr>
        <w:fldChar w:fldCharType="separate"/>
      </w:r>
      <w:r>
        <w:rPr>
          <w:color w:val="auto"/>
        </w:rPr>
        <w:t>1</w:t>
      </w:r>
      <w:r>
        <w:rPr>
          <w:color w:val="auto"/>
        </w:rPr>
        <w:fldChar w:fldCharType="end"/>
      </w:r>
      <w:r>
        <w:rPr>
          <w:rFonts w:hint="eastAsia" w:ascii="宋体" w:hAnsi="宋体" w:cs="宋体"/>
          <w:color w:val="auto"/>
          <w:highlight w:val="none"/>
        </w:rPr>
        <w:fldChar w:fldCharType="end"/>
      </w:r>
    </w:p>
    <w:p>
      <w:pPr>
        <w:pStyle w:val="16"/>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_Toc10764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rPr>
        <w:tab/>
      </w:r>
      <w:r>
        <w:rPr>
          <w:color w:val="auto"/>
        </w:rPr>
        <w:fldChar w:fldCharType="begin"/>
      </w:r>
      <w:r>
        <w:rPr>
          <w:color w:val="auto"/>
        </w:rPr>
        <w:instrText xml:space="preserve"> PAGEREF _Toc10764 \h </w:instrText>
      </w:r>
      <w:r>
        <w:rPr>
          <w:color w:val="auto"/>
        </w:rPr>
        <w:fldChar w:fldCharType="separate"/>
      </w:r>
      <w:r>
        <w:rPr>
          <w:color w:val="auto"/>
        </w:rPr>
        <w:t>5</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rPr>
        <w:tab/>
      </w:r>
      <w:r>
        <w:rPr>
          <w:color w:val="auto"/>
        </w:rPr>
        <w:fldChar w:fldCharType="begin"/>
      </w:r>
      <w:r>
        <w:rPr>
          <w:color w:val="auto"/>
        </w:rPr>
        <w:instrText xml:space="preserve"> PAGEREF _Toc650 \h </w:instrText>
      </w:r>
      <w:r>
        <w:rPr>
          <w:color w:val="auto"/>
        </w:rPr>
        <w:fldChar w:fldCharType="separate"/>
      </w:r>
      <w:r>
        <w:rPr>
          <w:color w:val="auto"/>
        </w:rPr>
        <w:t>5</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_Toc29098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rPr>
        <w:tab/>
      </w:r>
      <w:r>
        <w:rPr>
          <w:color w:val="auto"/>
        </w:rPr>
        <w:fldChar w:fldCharType="begin"/>
      </w:r>
      <w:r>
        <w:rPr>
          <w:color w:val="auto"/>
        </w:rPr>
        <w:instrText xml:space="preserve"> PAGEREF _Toc29098 \h </w:instrText>
      </w:r>
      <w:r>
        <w:rPr>
          <w:color w:val="auto"/>
        </w:rPr>
        <w:fldChar w:fldCharType="separate"/>
      </w:r>
      <w:r>
        <w:rPr>
          <w:color w:val="auto"/>
        </w:rPr>
        <w:t>9</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_Toc29551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rPr>
        <w:tab/>
      </w:r>
      <w:r>
        <w:rPr>
          <w:color w:val="auto"/>
        </w:rPr>
        <w:fldChar w:fldCharType="begin"/>
      </w:r>
      <w:r>
        <w:rPr>
          <w:color w:val="auto"/>
        </w:rPr>
        <w:instrText xml:space="preserve"> PAGEREF _Toc29551 \h </w:instrText>
      </w:r>
      <w:r>
        <w:rPr>
          <w:color w:val="auto"/>
        </w:rPr>
        <w:fldChar w:fldCharType="separate"/>
      </w:r>
      <w:r>
        <w:rPr>
          <w:color w:val="auto"/>
        </w:rPr>
        <w:t>12</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_Toc5605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rPr>
        <w:tab/>
      </w:r>
      <w:r>
        <w:rPr>
          <w:color w:val="auto"/>
        </w:rPr>
        <w:fldChar w:fldCharType="begin"/>
      </w:r>
      <w:r>
        <w:rPr>
          <w:color w:val="auto"/>
        </w:rPr>
        <w:instrText xml:space="preserve"> PAGEREF _Toc5605 \h </w:instrText>
      </w:r>
      <w:r>
        <w:rPr>
          <w:color w:val="auto"/>
        </w:rPr>
        <w:fldChar w:fldCharType="separate"/>
      </w:r>
      <w:r>
        <w:rPr>
          <w:color w:val="auto"/>
        </w:rPr>
        <w:t>13</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_Toc14243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rPr>
        <w:tab/>
      </w:r>
      <w:r>
        <w:rPr>
          <w:color w:val="auto"/>
        </w:rPr>
        <w:fldChar w:fldCharType="begin"/>
      </w:r>
      <w:r>
        <w:rPr>
          <w:color w:val="auto"/>
        </w:rPr>
        <w:instrText xml:space="preserve"> PAGEREF _Toc14243 \h </w:instrText>
      </w:r>
      <w:r>
        <w:rPr>
          <w:color w:val="auto"/>
        </w:rPr>
        <w:fldChar w:fldCharType="separate"/>
      </w:r>
      <w:r>
        <w:rPr>
          <w:color w:val="auto"/>
        </w:rPr>
        <w:t>16</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_Toc30138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rPr>
        <w:tab/>
      </w:r>
      <w:r>
        <w:rPr>
          <w:color w:val="auto"/>
        </w:rPr>
        <w:fldChar w:fldCharType="begin"/>
      </w:r>
      <w:r>
        <w:rPr>
          <w:color w:val="auto"/>
        </w:rPr>
        <w:instrText xml:space="preserve"> PAGEREF _Toc30138 \h </w:instrText>
      </w:r>
      <w:r>
        <w:rPr>
          <w:color w:val="auto"/>
        </w:rPr>
        <w:fldChar w:fldCharType="separate"/>
      </w:r>
      <w:r>
        <w:rPr>
          <w:color w:val="auto"/>
        </w:rPr>
        <w:t>16</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_Toc21876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rPr>
        <w:tab/>
      </w:r>
      <w:r>
        <w:rPr>
          <w:color w:val="auto"/>
        </w:rPr>
        <w:fldChar w:fldCharType="begin"/>
      </w:r>
      <w:r>
        <w:rPr>
          <w:color w:val="auto"/>
        </w:rPr>
        <w:instrText xml:space="preserve"> PAGEREF _Toc21876 \h </w:instrText>
      </w:r>
      <w:r>
        <w:rPr>
          <w:color w:val="auto"/>
        </w:rPr>
        <w:fldChar w:fldCharType="separate"/>
      </w:r>
      <w:r>
        <w:rPr>
          <w:color w:val="auto"/>
        </w:rPr>
        <w:t>16</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_Toc14407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rPr>
        <w:tab/>
      </w:r>
      <w:r>
        <w:rPr>
          <w:color w:val="auto"/>
        </w:rPr>
        <w:fldChar w:fldCharType="begin"/>
      </w:r>
      <w:r>
        <w:rPr>
          <w:color w:val="auto"/>
        </w:rPr>
        <w:instrText xml:space="preserve"> PAGEREF _Toc14407 \h </w:instrText>
      </w:r>
      <w:r>
        <w:rPr>
          <w:color w:val="auto"/>
        </w:rPr>
        <w:fldChar w:fldCharType="separate"/>
      </w:r>
      <w:r>
        <w:rPr>
          <w:color w:val="auto"/>
        </w:rPr>
        <w:t>18</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_Toc26618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rPr>
        <w:tab/>
      </w:r>
      <w:r>
        <w:rPr>
          <w:color w:val="auto"/>
        </w:rPr>
        <w:fldChar w:fldCharType="begin"/>
      </w:r>
      <w:r>
        <w:rPr>
          <w:color w:val="auto"/>
        </w:rPr>
        <w:instrText xml:space="preserve"> PAGEREF _Toc26618 \h </w:instrText>
      </w:r>
      <w:r>
        <w:rPr>
          <w:color w:val="auto"/>
        </w:rPr>
        <w:fldChar w:fldCharType="separate"/>
      </w:r>
      <w:r>
        <w:rPr>
          <w:color w:val="auto"/>
        </w:rPr>
        <w:t>19</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_Toc3689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rPr>
        <w:tab/>
      </w:r>
      <w:r>
        <w:rPr>
          <w:color w:val="auto"/>
        </w:rPr>
        <w:fldChar w:fldCharType="begin"/>
      </w:r>
      <w:r>
        <w:rPr>
          <w:color w:val="auto"/>
        </w:rPr>
        <w:instrText xml:space="preserve"> PAGEREF _Toc3689 \h </w:instrText>
      </w:r>
      <w:r>
        <w:rPr>
          <w:color w:val="auto"/>
        </w:rPr>
        <w:fldChar w:fldCharType="separate"/>
      </w:r>
      <w:r>
        <w:rPr>
          <w:color w:val="auto"/>
        </w:rPr>
        <w:t>19</w:t>
      </w:r>
      <w:r>
        <w:rPr>
          <w:color w:val="auto"/>
        </w:rP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_Toc32183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rPr>
        <w:tab/>
      </w:r>
      <w:r>
        <w:rPr>
          <w:color w:val="auto"/>
        </w:rPr>
        <w:fldChar w:fldCharType="begin"/>
      </w:r>
      <w:r>
        <w:rPr>
          <w:color w:val="auto"/>
        </w:rPr>
        <w:instrText xml:space="preserve"> PAGEREF _Toc32183 \h </w:instrText>
      </w:r>
      <w:r>
        <w:rPr>
          <w:color w:val="auto"/>
        </w:rPr>
        <w:fldChar w:fldCharType="separate"/>
      </w:r>
      <w:r>
        <w:rPr>
          <w:color w:val="auto"/>
        </w:rPr>
        <w:t>20</w:t>
      </w:r>
      <w:r>
        <w:rPr>
          <w:color w:val="auto"/>
        </w:rP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_Toc8613 </w:instrText>
      </w:r>
      <w:r>
        <w:rPr>
          <w:rFonts w:hint="eastAsia" w:ascii="宋体" w:hAnsi="宋体" w:eastAsia="宋体" w:cs="宋体"/>
          <w:color w:val="auto"/>
          <w:kern w:val="2"/>
          <w:szCs w:val="24"/>
          <w:highlight w:val="none"/>
        </w:rPr>
        <w:fldChar w:fldCharType="separate"/>
      </w:r>
      <w:r>
        <w:rPr>
          <w:rFonts w:hint="eastAsia"/>
          <w:color w:val="auto"/>
        </w:rPr>
        <w:t>第四章 响应文件格式</w:t>
      </w:r>
      <w:r>
        <w:rPr>
          <w:color w:val="auto"/>
        </w:rPr>
        <w:tab/>
      </w:r>
      <w:r>
        <w:rPr>
          <w:color w:val="auto"/>
        </w:rPr>
        <w:fldChar w:fldCharType="begin"/>
      </w:r>
      <w:r>
        <w:rPr>
          <w:color w:val="auto"/>
        </w:rPr>
        <w:instrText xml:space="preserve"> PAGEREF _Toc8613 \h </w:instrText>
      </w:r>
      <w:r>
        <w:rPr>
          <w:color w:val="auto"/>
        </w:rPr>
        <w:fldChar w:fldCharType="separate"/>
      </w:r>
      <w:r>
        <w:rPr>
          <w:color w:val="auto"/>
        </w:rPr>
        <w:t>23</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_Toc19447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rPr>
        <w:tab/>
      </w:r>
      <w:r>
        <w:rPr>
          <w:color w:val="auto"/>
        </w:rPr>
        <w:fldChar w:fldCharType="begin"/>
      </w:r>
      <w:r>
        <w:rPr>
          <w:color w:val="auto"/>
        </w:rPr>
        <w:instrText xml:space="preserve"> PAGEREF _Toc19447 \h </w:instrText>
      </w:r>
      <w:r>
        <w:rPr>
          <w:color w:val="auto"/>
        </w:rPr>
        <w:fldChar w:fldCharType="separate"/>
      </w:r>
      <w:r>
        <w:rPr>
          <w:color w:val="auto"/>
        </w:rPr>
        <w:t>25</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_Toc29776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二</w:t>
      </w:r>
      <w:r>
        <w:rPr>
          <w:rFonts w:hint="eastAsia" w:ascii="黑体" w:hAnsi="黑体" w:eastAsia="黑体" w:cs="Arial"/>
          <w:bCs/>
          <w:color w:val="auto"/>
          <w:szCs w:val="32"/>
          <w:highlight w:val="none"/>
        </w:rPr>
        <w:t>、资格证明材料</w:t>
      </w:r>
      <w:r>
        <w:rPr>
          <w:color w:val="auto"/>
        </w:rPr>
        <w:tab/>
      </w:r>
      <w:r>
        <w:rPr>
          <w:color w:val="auto"/>
        </w:rPr>
        <w:fldChar w:fldCharType="begin"/>
      </w:r>
      <w:r>
        <w:rPr>
          <w:color w:val="auto"/>
        </w:rPr>
        <w:instrText xml:space="preserve"> PAGEREF _Toc29776 \h </w:instrText>
      </w:r>
      <w:r>
        <w:rPr>
          <w:color w:val="auto"/>
        </w:rPr>
        <w:fldChar w:fldCharType="separate"/>
      </w:r>
      <w:r>
        <w:rPr>
          <w:color w:val="auto"/>
        </w:rPr>
        <w:t>26</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_Toc16391 </w:instrText>
      </w:r>
      <w:r>
        <w:rPr>
          <w:rFonts w:hint="eastAsia" w:ascii="宋体" w:hAnsi="宋体" w:eastAsia="宋体" w:cs="宋体"/>
          <w:color w:val="auto"/>
          <w:kern w:val="2"/>
          <w:szCs w:val="24"/>
          <w:highlight w:val="none"/>
        </w:rPr>
        <w:fldChar w:fldCharType="separate"/>
      </w:r>
      <w:r>
        <w:rPr>
          <w:rFonts w:hint="eastAsia" w:ascii="黑体" w:hAnsi="黑体" w:eastAsia="黑体" w:cs="黑体"/>
          <w:color w:val="auto"/>
          <w:szCs w:val="32"/>
          <w:highlight w:val="none"/>
          <w:lang w:val="en-US" w:eastAsia="zh-CN"/>
        </w:rPr>
        <w:t>三</w:t>
      </w:r>
      <w:r>
        <w:rPr>
          <w:rFonts w:hint="eastAsia" w:ascii="黑体" w:hAnsi="黑体" w:eastAsia="黑体" w:cs="黑体"/>
          <w:bCs/>
          <w:color w:val="auto"/>
          <w:szCs w:val="32"/>
          <w:highlight w:val="none"/>
        </w:rPr>
        <w:t>、法定代表人授权书</w:t>
      </w:r>
      <w:r>
        <w:rPr>
          <w:color w:val="auto"/>
        </w:rPr>
        <w:tab/>
      </w:r>
      <w:r>
        <w:rPr>
          <w:color w:val="auto"/>
        </w:rPr>
        <w:fldChar w:fldCharType="begin"/>
      </w:r>
      <w:r>
        <w:rPr>
          <w:color w:val="auto"/>
        </w:rPr>
        <w:instrText xml:space="preserve"> PAGEREF _Toc16391 \h </w:instrText>
      </w:r>
      <w:r>
        <w:rPr>
          <w:color w:val="auto"/>
        </w:rPr>
        <w:fldChar w:fldCharType="separate"/>
      </w:r>
      <w:r>
        <w:rPr>
          <w:color w:val="auto"/>
        </w:rPr>
        <w:t>27</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_Toc7817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四</w:t>
      </w:r>
      <w:r>
        <w:rPr>
          <w:rFonts w:hint="eastAsia" w:ascii="黑体" w:hAnsi="黑体" w:eastAsia="黑体" w:cs="Arial"/>
          <w:bCs/>
          <w:color w:val="auto"/>
          <w:szCs w:val="32"/>
          <w:highlight w:val="none"/>
        </w:rPr>
        <w:t>、承诺函</w:t>
      </w:r>
      <w:r>
        <w:rPr>
          <w:color w:val="auto"/>
        </w:rPr>
        <w:tab/>
      </w:r>
      <w:r>
        <w:rPr>
          <w:color w:val="auto"/>
        </w:rPr>
        <w:fldChar w:fldCharType="begin"/>
      </w:r>
      <w:r>
        <w:rPr>
          <w:color w:val="auto"/>
        </w:rPr>
        <w:instrText xml:space="preserve"> PAGEREF _Toc7817 \h </w:instrText>
      </w:r>
      <w:r>
        <w:rPr>
          <w:color w:val="auto"/>
        </w:rPr>
        <w:fldChar w:fldCharType="separate"/>
      </w:r>
      <w:r>
        <w:rPr>
          <w:color w:val="auto"/>
        </w:rPr>
        <w:t>28</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_Toc20032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五</w:t>
      </w:r>
      <w:r>
        <w:rPr>
          <w:rFonts w:hint="eastAsia" w:ascii="黑体" w:hAnsi="黑体" w:eastAsia="黑体" w:cs="Arial"/>
          <w:bCs/>
          <w:color w:val="auto"/>
          <w:szCs w:val="32"/>
          <w:highlight w:val="none"/>
        </w:rPr>
        <w:t>、竞标人廉洁自律承诺书</w:t>
      </w:r>
      <w:r>
        <w:rPr>
          <w:color w:val="auto"/>
        </w:rPr>
        <w:tab/>
      </w:r>
      <w:r>
        <w:rPr>
          <w:color w:val="auto"/>
        </w:rPr>
        <w:fldChar w:fldCharType="begin"/>
      </w:r>
      <w:r>
        <w:rPr>
          <w:color w:val="auto"/>
        </w:rPr>
        <w:instrText xml:space="preserve"> PAGEREF _Toc20032 \h </w:instrText>
      </w:r>
      <w:r>
        <w:rPr>
          <w:color w:val="auto"/>
        </w:rPr>
        <w:fldChar w:fldCharType="separate"/>
      </w:r>
      <w:r>
        <w:rPr>
          <w:color w:val="auto"/>
        </w:rPr>
        <w:t>29</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_Toc27860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六</w:t>
      </w:r>
      <w:r>
        <w:rPr>
          <w:rFonts w:hint="eastAsia" w:ascii="黑体" w:hAnsi="黑体" w:eastAsia="黑体" w:cs="Arial"/>
          <w:bCs/>
          <w:color w:val="auto"/>
          <w:szCs w:val="32"/>
          <w:highlight w:val="none"/>
        </w:rPr>
        <w:t>、供应商基本情况表</w:t>
      </w:r>
      <w:r>
        <w:rPr>
          <w:color w:val="auto"/>
        </w:rPr>
        <w:tab/>
      </w:r>
      <w:r>
        <w:rPr>
          <w:color w:val="auto"/>
        </w:rPr>
        <w:fldChar w:fldCharType="begin"/>
      </w:r>
      <w:r>
        <w:rPr>
          <w:color w:val="auto"/>
        </w:rPr>
        <w:instrText xml:space="preserve"> PAGEREF _Toc27860 \h </w:instrText>
      </w:r>
      <w:r>
        <w:rPr>
          <w:color w:val="auto"/>
        </w:rPr>
        <w:fldChar w:fldCharType="separate"/>
      </w:r>
      <w:r>
        <w:rPr>
          <w:color w:val="auto"/>
        </w:rPr>
        <w:t>30</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_Toc6558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七</w:t>
      </w:r>
      <w:r>
        <w:rPr>
          <w:rFonts w:hint="eastAsia" w:ascii="黑体" w:hAnsi="黑体" w:eastAsia="黑体" w:cs="Arial"/>
          <w:bCs/>
          <w:color w:val="auto"/>
          <w:szCs w:val="32"/>
          <w:highlight w:val="none"/>
        </w:rPr>
        <w:t>、供应商</w:t>
      </w:r>
      <w:r>
        <w:rPr>
          <w:rFonts w:hint="eastAsia" w:ascii="黑体" w:hAnsi="黑体" w:eastAsia="黑体" w:cs="Arial"/>
          <w:bCs/>
          <w:color w:val="auto"/>
          <w:szCs w:val="32"/>
          <w:highlight w:val="none"/>
          <w:lang w:val="en-US" w:eastAsia="zh-CN"/>
        </w:rPr>
        <w:t>拟派</w:t>
      </w:r>
      <w:r>
        <w:rPr>
          <w:rFonts w:hint="eastAsia" w:ascii="黑体" w:hAnsi="黑体" w:eastAsia="黑体" w:cs="Arial"/>
          <w:bCs/>
          <w:color w:val="auto"/>
          <w:szCs w:val="32"/>
          <w:highlight w:val="none"/>
        </w:rPr>
        <w:t>本项目管理、技术、服务人员情况表</w:t>
      </w:r>
      <w:r>
        <w:rPr>
          <w:color w:val="auto"/>
        </w:rPr>
        <w:tab/>
      </w:r>
      <w:r>
        <w:rPr>
          <w:color w:val="auto"/>
        </w:rPr>
        <w:fldChar w:fldCharType="begin"/>
      </w:r>
      <w:r>
        <w:rPr>
          <w:color w:val="auto"/>
        </w:rPr>
        <w:instrText xml:space="preserve"> PAGEREF _Toc6558 \h </w:instrText>
      </w:r>
      <w:r>
        <w:rPr>
          <w:color w:val="auto"/>
        </w:rPr>
        <w:fldChar w:fldCharType="separate"/>
      </w:r>
      <w:r>
        <w:rPr>
          <w:color w:val="auto"/>
        </w:rPr>
        <w:t>31</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_Toc1183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、类似业绩表</w:t>
      </w:r>
      <w:r>
        <w:rPr>
          <w:color w:val="auto"/>
        </w:rPr>
        <w:tab/>
      </w:r>
      <w:r>
        <w:rPr>
          <w:color w:val="auto"/>
        </w:rPr>
        <w:fldChar w:fldCharType="begin"/>
      </w:r>
      <w:r>
        <w:rPr>
          <w:color w:val="auto"/>
        </w:rPr>
        <w:instrText xml:space="preserve"> PAGEREF _Toc1183 \h </w:instrText>
      </w:r>
      <w:r>
        <w:rPr>
          <w:color w:val="auto"/>
        </w:rPr>
        <w:fldChar w:fldCharType="separate"/>
      </w:r>
      <w:r>
        <w:rPr>
          <w:color w:val="auto"/>
        </w:rPr>
        <w:t>32</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_Toc3762 </w:instrText>
      </w:r>
      <w:r>
        <w:rPr>
          <w:rFonts w:hint="eastAsia" w:ascii="宋体" w:hAnsi="宋体" w:eastAsia="宋体" w:cs="宋体"/>
          <w:color w:val="auto"/>
          <w:kern w:val="2"/>
          <w:szCs w:val="24"/>
          <w:highlight w:val="none"/>
        </w:rPr>
        <w:fldChar w:fldCharType="separate"/>
      </w:r>
      <w:r>
        <w:rPr>
          <w:rFonts w:hint="eastAsia"/>
          <w:color w:val="auto"/>
          <w:lang w:val="en-US" w:eastAsia="zh-CN"/>
        </w:rPr>
        <w:t>九、商务、技术、服务应答表</w:t>
      </w:r>
      <w:r>
        <w:rPr>
          <w:color w:val="auto"/>
        </w:rPr>
        <w:tab/>
      </w:r>
      <w:r>
        <w:rPr>
          <w:color w:val="auto"/>
        </w:rPr>
        <w:fldChar w:fldCharType="begin"/>
      </w:r>
      <w:r>
        <w:rPr>
          <w:color w:val="auto"/>
        </w:rPr>
        <w:instrText xml:space="preserve"> PAGEREF _Toc3762 \h </w:instrText>
      </w:r>
      <w:r>
        <w:rPr>
          <w:color w:val="auto"/>
        </w:rPr>
        <w:fldChar w:fldCharType="separate"/>
      </w:r>
      <w:r>
        <w:rPr>
          <w:color w:val="auto"/>
        </w:rPr>
        <w:t>33</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_Toc29094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十、服务方案（格式自拟）</w:t>
      </w:r>
      <w:r>
        <w:rPr>
          <w:color w:val="auto"/>
        </w:rPr>
        <w:tab/>
      </w:r>
      <w:r>
        <w:rPr>
          <w:color w:val="auto"/>
        </w:rPr>
        <w:fldChar w:fldCharType="begin"/>
      </w:r>
      <w:r>
        <w:rPr>
          <w:color w:val="auto"/>
        </w:rPr>
        <w:instrText xml:space="preserve"> PAGEREF _Toc29094 \h </w:instrText>
      </w:r>
      <w:r>
        <w:rPr>
          <w:color w:val="auto"/>
        </w:rPr>
        <w:fldChar w:fldCharType="separate"/>
      </w:r>
      <w:r>
        <w:rPr>
          <w:color w:val="auto"/>
        </w:rPr>
        <w:t>34</w:t>
      </w:r>
      <w:r>
        <w:rPr>
          <w:color w:val="auto"/>
        </w:rP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_Toc24049 </w:instrText>
      </w:r>
      <w:r>
        <w:rPr>
          <w:rFonts w:hint="eastAsia" w:ascii="宋体" w:hAnsi="宋体" w:eastAsia="宋体" w:cs="宋体"/>
          <w:color w:val="auto"/>
          <w:kern w:val="2"/>
          <w:szCs w:val="24"/>
          <w:highlight w:val="none"/>
        </w:rPr>
        <w:fldChar w:fldCharType="separate"/>
      </w:r>
      <w:r>
        <w:rPr>
          <w:rFonts w:hint="eastAsia"/>
          <w:color w:val="auto"/>
        </w:rPr>
        <w:t>第五章 保证金退还申请书</w:t>
      </w:r>
      <w:r>
        <w:rPr>
          <w:color w:val="auto"/>
        </w:rPr>
        <w:tab/>
      </w:r>
      <w:r>
        <w:rPr>
          <w:color w:val="auto"/>
        </w:rPr>
        <w:fldChar w:fldCharType="begin"/>
      </w:r>
      <w:r>
        <w:rPr>
          <w:color w:val="auto"/>
        </w:rPr>
        <w:instrText xml:space="preserve"> PAGEREF _Toc24049 \h </w:instrText>
      </w:r>
      <w:r>
        <w:rPr>
          <w:color w:val="auto"/>
        </w:rPr>
        <w:fldChar w:fldCharType="separate"/>
      </w:r>
      <w:r>
        <w:rPr>
          <w:color w:val="auto"/>
        </w:rPr>
        <w:t>35</w:t>
      </w:r>
      <w:r>
        <w:rPr>
          <w:color w:val="auto"/>
        </w:rP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_Toc20369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rPr>
        <w:tab/>
      </w:r>
      <w:r>
        <w:rPr>
          <w:color w:val="auto"/>
        </w:rPr>
        <w:fldChar w:fldCharType="begin"/>
      </w:r>
      <w:r>
        <w:rPr>
          <w:color w:val="auto"/>
        </w:rPr>
        <w:instrText xml:space="preserve"> PAGEREF _Toc20369 \h </w:instrText>
      </w:r>
      <w:r>
        <w:rPr>
          <w:color w:val="auto"/>
        </w:rPr>
        <w:fldChar w:fldCharType="separate"/>
      </w:r>
      <w:r>
        <w:rPr>
          <w:color w:val="auto"/>
        </w:rPr>
        <w:t>36</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_Toc13659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rPr>
        <w:tab/>
      </w:r>
      <w:r>
        <w:rPr>
          <w:color w:val="auto"/>
        </w:rPr>
        <w:fldChar w:fldCharType="begin"/>
      </w:r>
      <w:r>
        <w:rPr>
          <w:color w:val="auto"/>
        </w:rPr>
        <w:instrText xml:space="preserve"> PAGEREF _Toc13659 \h </w:instrText>
      </w:r>
      <w:r>
        <w:rPr>
          <w:color w:val="auto"/>
        </w:rPr>
        <w:fldChar w:fldCharType="separate"/>
      </w:r>
      <w:r>
        <w:rPr>
          <w:color w:val="auto"/>
        </w:rPr>
        <w:t>36</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_Toc31084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rPr>
        <w:tab/>
      </w:r>
      <w:r>
        <w:rPr>
          <w:color w:val="auto"/>
        </w:rPr>
        <w:fldChar w:fldCharType="begin"/>
      </w:r>
      <w:r>
        <w:rPr>
          <w:color w:val="auto"/>
        </w:rPr>
        <w:instrText xml:space="preserve"> PAGEREF _Toc31084 \h </w:instrText>
      </w:r>
      <w:r>
        <w:rPr>
          <w:color w:val="auto"/>
        </w:rPr>
        <w:fldChar w:fldCharType="separate"/>
      </w:r>
      <w:r>
        <w:rPr>
          <w:color w:val="auto"/>
        </w:rPr>
        <w:t>36</w:t>
      </w:r>
      <w:r>
        <w:rPr>
          <w:color w:val="auto"/>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_Toc7321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rPr>
        <w:tab/>
      </w:r>
      <w:r>
        <w:rPr>
          <w:color w:val="auto"/>
        </w:rPr>
        <w:fldChar w:fldCharType="begin"/>
      </w:r>
      <w:r>
        <w:rPr>
          <w:color w:val="auto"/>
        </w:rPr>
        <w:instrText xml:space="preserve"> PAGEREF _Toc7321 \h </w:instrText>
      </w:r>
      <w:r>
        <w:rPr>
          <w:color w:val="auto"/>
        </w:rPr>
        <w:fldChar w:fldCharType="separate"/>
      </w:r>
      <w:r>
        <w:rPr>
          <w:color w:val="auto"/>
        </w:rPr>
        <w:t>38</w:t>
      </w:r>
      <w:r>
        <w:rPr>
          <w:color w:val="auto"/>
        </w:rPr>
        <w:fldChar w:fldCharType="end"/>
      </w:r>
      <w:r>
        <w:rPr>
          <w:rFonts w:hint="eastAsia" w:ascii="宋体" w:hAnsi="宋体" w:eastAsia="宋体" w:cs="宋体"/>
          <w:color w:val="auto"/>
          <w:kern w:val="2"/>
          <w:szCs w:val="24"/>
          <w:highlight w:val="none"/>
        </w:rPr>
        <w:fldChar w:fldCharType="end"/>
      </w:r>
    </w:p>
    <w:p>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480" w:firstLineChars="2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泸州港龙江港区大脚石作业区一期工程建设占用耕地耕作层土壤剥离再利用实施工程劳务等分包采购，</w:t>
      </w:r>
      <w:r>
        <w:rPr>
          <w:color w:val="auto"/>
          <w:sz w:val="24"/>
          <w:szCs w:val="32"/>
          <w:highlight w:val="none"/>
        </w:rPr>
        <w:t>项目采用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XYJCCG[2025]-042号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泸州港龙江港区大脚石作业区一期工程建设占用耕地耕作层土壤剥离再利用实施工程劳务等分包采购</w:t>
      </w:r>
      <w:r>
        <w:rPr>
          <w:color w:val="auto"/>
          <w:sz w:val="24"/>
          <w:highlight w:val="none"/>
        </w:rPr>
        <w:t>。</w:t>
      </w:r>
      <w:bookmarkEnd w:id="6"/>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bookmarkStart w:id="7" w:name="OLE_LINK18"/>
      <w:r>
        <w:rPr>
          <w:rFonts w:hint="eastAsia"/>
          <w:color w:val="auto"/>
          <w:sz w:val="24"/>
          <w:highlight w:val="none"/>
          <w:lang w:val="en-US" w:eastAsia="zh-CN"/>
        </w:rPr>
        <w:t>2025年</w:t>
      </w:r>
      <w:r>
        <w:rPr>
          <w:rFonts w:hint="default"/>
          <w:color w:val="auto"/>
          <w:sz w:val="24"/>
          <w:highlight w:val="none"/>
          <w:lang w:val="en-US" w:eastAsia="zh-CN"/>
        </w:rPr>
        <w:t>6</w:t>
      </w:r>
      <w:r>
        <w:rPr>
          <w:rFonts w:hint="eastAsia"/>
          <w:color w:val="auto"/>
          <w:sz w:val="24"/>
          <w:highlight w:val="none"/>
          <w:lang w:val="en-US" w:eastAsia="zh-CN"/>
        </w:rPr>
        <w:t>月26日前进场开工起45日历天内竣工验收并合格</w:t>
      </w:r>
      <w:bookmarkEnd w:id="7"/>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bookmarkStart w:id="8" w:name="OLE_LINK7"/>
      <w:r>
        <w:rPr>
          <w:rFonts w:hint="eastAsia"/>
          <w:color w:val="auto"/>
          <w:sz w:val="24"/>
          <w:highlight w:val="none"/>
          <w:lang w:val="en-US" w:eastAsia="zh-CN"/>
        </w:rPr>
        <w:t>采用固定综合单价结算方式</w:t>
      </w:r>
      <w:bookmarkEnd w:id="8"/>
      <w:r>
        <w:rPr>
          <w:rFonts w:hint="eastAsia"/>
          <w:color w:val="auto"/>
          <w:sz w:val="24"/>
          <w:highlight w:val="none"/>
          <w:lang w:val="en-US" w:eastAsia="zh-CN"/>
        </w:rPr>
        <w:t>。</w:t>
      </w:r>
      <w:bookmarkStart w:id="9" w:name="OLE_LINK28"/>
      <w:r>
        <w:rPr>
          <w:rFonts w:hint="eastAsia"/>
          <w:color w:val="auto"/>
          <w:sz w:val="24"/>
          <w:highlight w:val="none"/>
          <w:lang w:val="en-US" w:eastAsia="zh-CN"/>
        </w:rPr>
        <w:t>建安费暂定</w:t>
      </w:r>
      <w:r>
        <w:rPr>
          <w:rFonts w:hint="eastAsia" w:cs="宋体"/>
          <w:color w:val="auto"/>
          <w:sz w:val="24"/>
          <w:szCs w:val="24"/>
          <w:highlight w:val="none"/>
          <w:u w:val="none"/>
          <w:lang w:val="en-US" w:eastAsia="zh-CN"/>
        </w:rPr>
        <w:t>25万元</w:t>
      </w:r>
      <w:bookmarkEnd w:id="9"/>
      <w:r>
        <w:rPr>
          <w:rFonts w:hint="eastAsia" w:cs="宋体"/>
          <w:color w:val="auto"/>
          <w:sz w:val="24"/>
          <w:szCs w:val="24"/>
          <w:highlight w:val="none"/>
          <w:u w:val="none"/>
          <w:lang w:val="en-US" w:eastAsia="zh-CN"/>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b/>
          <w:bCs/>
          <w:color w:val="auto"/>
          <w:sz w:val="24"/>
          <w:highlight w:val="none"/>
        </w:rPr>
      </w:pPr>
      <w:bookmarkStart w:id="10" w:name="OLE_LINK13"/>
      <w:r>
        <w:rPr>
          <w:rFonts w:hint="eastAsia" w:ascii="宋体" w:hAnsi="宋体" w:eastAsia="宋体" w:cs="宋体"/>
          <w:color w:val="auto"/>
          <w:kern w:val="2"/>
          <w:sz w:val="24"/>
          <w:szCs w:val="24"/>
          <w:highlight w:val="none"/>
          <w:lang w:val="en-US" w:eastAsia="zh-CN" w:bidi="ar-SA"/>
        </w:rPr>
        <w:t>泸州港龙江港区大脚石作业区一期工程项目位于泸州市江阳区江北镇岱宗村、先锋村，长江大渡口水道左岸</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主要工程内容包括：需要对耕地质量3等级的耕地进行耕作层剥离利用。耕作层土壤剥离面积1.0592公顷，其中剥离水田面积0.2501公顷，剥离旱地面积0.8091公顷，剥离耕作层土壤约2773立方米。</w:t>
      </w:r>
      <w:r>
        <w:rPr>
          <w:rFonts w:hint="eastAsia" w:ascii="宋体" w:hAnsi="宋体" w:eastAsia="宋体" w:cs="宋体"/>
          <w:color w:val="auto"/>
          <w:sz w:val="24"/>
          <w:highlight w:val="none"/>
          <w:lang w:val="en-US" w:eastAsia="zh-CN"/>
        </w:rPr>
        <w:t>以及</w:t>
      </w:r>
      <w:r>
        <w:rPr>
          <w:rFonts w:hint="eastAsia" w:ascii="宋体" w:hAnsi="宋体" w:cs="宋体"/>
          <w:color w:val="auto"/>
          <w:sz w:val="24"/>
          <w:highlight w:val="none"/>
          <w:lang w:val="en-US" w:eastAsia="zh-CN"/>
        </w:rPr>
        <w:t>方案、图纸范围</w:t>
      </w:r>
      <w:r>
        <w:rPr>
          <w:rFonts w:hint="eastAsia" w:ascii="宋体" w:hAnsi="宋体" w:eastAsia="宋体" w:cs="宋体"/>
          <w:color w:val="auto"/>
          <w:sz w:val="24"/>
          <w:highlight w:val="none"/>
          <w:lang w:val="en-US" w:eastAsia="zh-CN"/>
        </w:rPr>
        <w:t>内或工程量清单范围内的其他内容。</w:t>
      </w:r>
    </w:p>
    <w:bookmarkEnd w:id="10"/>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11" w:name="OLE_LINK3"/>
      <w:r>
        <w:rPr>
          <w:rFonts w:hint="eastAsia"/>
          <w:color w:val="auto"/>
          <w:sz w:val="24"/>
          <w:highlight w:val="none"/>
          <w:lang w:eastAsia="zh-CN"/>
        </w:rPr>
        <w:t>泸州盛江投资发展有限公司http://www.lzsjtz.com/</w:t>
      </w:r>
      <w:bookmarkEnd w:id="11"/>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6"/>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2025年6月</w:t>
      </w:r>
      <w:r>
        <w:rPr>
          <w:rFonts w:hint="eastAsia" w:ascii="宋体" w:hAnsi="宋体" w:cs="宋体"/>
          <w:bCs/>
          <w:color w:val="auto"/>
          <w:sz w:val="24"/>
          <w:highlight w:val="none"/>
          <w:lang w:val="en-US" w:eastAsia="zh-CN"/>
        </w:rPr>
        <w:t>20</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09</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4"/>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12" w:name="OLE_LINK25"/>
      <w:r>
        <w:rPr>
          <w:rStyle w:val="24"/>
          <w:rFonts w:hint="eastAsia" w:ascii="宋体" w:hAnsi="宋体" w:eastAsia="宋体" w:cs="宋体"/>
          <w:b/>
          <w:bCs/>
          <w:color w:val="auto"/>
          <w:sz w:val="24"/>
          <w:szCs w:val="24"/>
          <w:highlight w:val="none"/>
          <w:u w:val="none"/>
          <w:lang w:eastAsia="zh-CN"/>
        </w:rPr>
        <w:t>□</w:t>
      </w:r>
      <w:bookmarkEnd w:id="12"/>
      <w:r>
        <w:rPr>
          <w:rStyle w:val="24"/>
          <w:rFonts w:hint="eastAsia" w:ascii="宋体" w:hAnsi="宋体" w:eastAsia="宋体" w:cs="宋体"/>
          <w:bCs/>
          <w:color w:val="auto"/>
          <w:sz w:val="24"/>
          <w:szCs w:val="24"/>
          <w:highlight w:val="none"/>
          <w:u w:val="none"/>
        </w:rPr>
        <w:t>本次采购</w:t>
      </w:r>
      <w:r>
        <w:rPr>
          <w:rStyle w:val="24"/>
          <w:rFonts w:hint="eastAsia" w:ascii="宋体" w:hAnsi="宋体" w:eastAsia="宋体" w:cs="宋体"/>
          <w:bCs/>
          <w:color w:val="auto"/>
          <w:sz w:val="24"/>
          <w:szCs w:val="24"/>
          <w:highlight w:val="none"/>
          <w:u w:val="none"/>
          <w:lang w:val="en-US" w:eastAsia="zh-CN"/>
        </w:rPr>
        <w:t>只</w:t>
      </w:r>
      <w:r>
        <w:rPr>
          <w:rStyle w:val="24"/>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4"/>
          <w:rFonts w:hint="eastAsia" w:ascii="宋体" w:hAnsi="宋体" w:cs="宋体"/>
          <w:bCs/>
          <w:color w:val="auto"/>
          <w:sz w:val="24"/>
          <w:szCs w:val="24"/>
          <w:highlight w:val="none"/>
          <w:u w:val="none"/>
          <w:lang w:eastAsia="zh-CN"/>
        </w:rPr>
        <w:t>询比</w:t>
      </w:r>
      <w:r>
        <w:rPr>
          <w:rStyle w:val="24"/>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4"/>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4"/>
          <w:rFonts w:hint="eastAsia" w:ascii="宋体" w:hAnsi="宋体" w:eastAsia="宋体" w:cs="宋体"/>
          <w:bCs/>
          <w:color w:val="auto"/>
          <w:sz w:val="24"/>
          <w:szCs w:val="24"/>
          <w:highlight w:val="none"/>
          <w:u w:val="none"/>
        </w:rPr>
        <w:t>电子邮箱</w:t>
      </w:r>
      <w:r>
        <w:rPr>
          <w:rStyle w:val="24"/>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4"/>
          <w:rFonts w:hint="eastAsia" w:ascii="宋体" w:hAnsi="宋体" w:eastAsia="宋体" w:cs="宋体"/>
          <w:bCs/>
          <w:color w:val="auto"/>
          <w:sz w:val="24"/>
          <w:szCs w:val="24"/>
          <w:highlight w:val="none"/>
          <w:u w:val="none"/>
        </w:rPr>
        <w:t>电子邮箱递交的响应文件必须是按</w:t>
      </w:r>
      <w:r>
        <w:rPr>
          <w:rStyle w:val="24"/>
          <w:rFonts w:hint="eastAsia" w:ascii="宋体" w:hAnsi="宋体" w:cs="宋体"/>
          <w:bCs/>
          <w:color w:val="auto"/>
          <w:sz w:val="24"/>
          <w:szCs w:val="24"/>
          <w:highlight w:val="none"/>
          <w:u w:val="none"/>
          <w:lang w:eastAsia="zh-CN"/>
        </w:rPr>
        <w:t>询比</w:t>
      </w:r>
      <w:r>
        <w:rPr>
          <w:rStyle w:val="24"/>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6"/>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6"/>
        <w:ind w:firstLine="480"/>
        <w:rPr>
          <w:color w:val="auto"/>
          <w:sz w:val="24"/>
          <w:highlight w:val="none"/>
        </w:rPr>
      </w:pPr>
      <w:r>
        <w:rPr>
          <w:color w:val="auto"/>
          <w:sz w:val="24"/>
          <w:highlight w:val="none"/>
        </w:rPr>
        <w:t>联系人：</w:t>
      </w:r>
      <w:r>
        <w:rPr>
          <w:rFonts w:hint="eastAsia"/>
          <w:color w:val="auto"/>
          <w:sz w:val="24"/>
          <w:highlight w:val="none"/>
          <w:lang w:val="en-US" w:eastAsia="zh-CN"/>
        </w:rPr>
        <w:t>甘先生</w:t>
      </w:r>
    </w:p>
    <w:p>
      <w:pPr>
        <w:pStyle w:val="26"/>
        <w:ind w:firstLine="480"/>
        <w:rPr>
          <w:rFonts w:hint="default"/>
          <w:color w:val="auto"/>
          <w:sz w:val="24"/>
          <w:highlight w:val="none"/>
          <w:lang w:val="en-US"/>
        </w:rPr>
      </w:pPr>
      <w:r>
        <w:rPr>
          <w:color w:val="auto"/>
          <w:sz w:val="24"/>
          <w:highlight w:val="none"/>
        </w:rPr>
        <w:t>联系电话：</w:t>
      </w:r>
      <w:r>
        <w:rPr>
          <w:rFonts w:hint="eastAsia" w:ascii="Times New Roman" w:hAnsi="Times New Roman" w:eastAsia="宋体" w:cs="Times New Roman"/>
          <w:color w:val="auto"/>
          <w:kern w:val="0"/>
          <w:sz w:val="24"/>
          <w:szCs w:val="18"/>
          <w:highlight w:val="none"/>
          <w:lang w:val="en-US" w:eastAsia="zh-CN" w:bidi="ar-SA"/>
        </w:rPr>
        <w:t>0830-6522</w:t>
      </w:r>
      <w:r>
        <w:rPr>
          <w:rFonts w:hint="eastAsia" w:cs="Times New Roman"/>
          <w:color w:val="auto"/>
          <w:kern w:val="0"/>
          <w:sz w:val="24"/>
          <w:szCs w:val="18"/>
          <w:highlight w:val="none"/>
          <w:lang w:val="en-US" w:eastAsia="zh-CN" w:bidi="ar-SA"/>
        </w:rPr>
        <w:t>205</w:t>
      </w:r>
    </w:p>
    <w:p>
      <w:pPr>
        <w:pStyle w:val="18"/>
        <w:spacing w:before="0" w:beforeAutospacing="0" w:after="0" w:afterAutospacing="0" w:line="360" w:lineRule="auto"/>
        <w:ind w:firstLine="480" w:firstLineChars="200"/>
        <w:rPr>
          <w:rFonts w:hint="default" w:ascii="Times New Roman" w:hAnsi="Times New Roman" w:eastAsia="宋体"/>
          <w:color w:val="auto"/>
          <w:sz w:val="24"/>
          <w:highlight w:val="none"/>
          <w:lang w:val="en-US" w:eastAsia="zh-CN"/>
        </w:rPr>
      </w:pPr>
      <w:r>
        <w:rPr>
          <w:rFonts w:ascii="Times New Roman" w:hAnsi="Times New Roman"/>
          <w:color w:val="auto"/>
          <w:sz w:val="24"/>
          <w:highlight w:val="none"/>
        </w:rPr>
        <w:t>监督电话：0830-65</w:t>
      </w:r>
      <w:r>
        <w:rPr>
          <w:rFonts w:hint="eastAsia" w:ascii="Times New Roman" w:hAnsi="Times New Roman"/>
          <w:color w:val="auto"/>
          <w:sz w:val="24"/>
          <w:highlight w:val="none"/>
          <w:lang w:val="en-US" w:eastAsia="zh-CN"/>
        </w:rPr>
        <w:t>23011</w:t>
      </w:r>
    </w:p>
    <w:p>
      <w:pPr>
        <w:pStyle w:val="18"/>
        <w:spacing w:before="0" w:beforeAutospacing="0" w:after="0" w:afterAutospacing="0" w:line="360" w:lineRule="auto"/>
        <w:ind w:firstLine="480" w:firstLineChars="200"/>
        <w:rPr>
          <w:rFonts w:ascii="Times New Roman" w:hAnsi="Times New Roman"/>
          <w:color w:val="auto"/>
          <w:sz w:val="24"/>
          <w:highlight w:val="none"/>
        </w:rPr>
      </w:pPr>
    </w:p>
    <w:p>
      <w:pPr>
        <w:pStyle w:val="18"/>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2025年6月</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 xml:space="preserve"> 日</w:t>
      </w:r>
    </w:p>
    <w:p>
      <w:pPr>
        <w:pStyle w:val="18"/>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3" w:name="_Toc10764"/>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3"/>
    </w:p>
    <w:p>
      <w:pPr>
        <w:spacing w:after="240" w:afterLines="100"/>
        <w:jc w:val="center"/>
        <w:outlineLvl w:val="1"/>
        <w:rPr>
          <w:rFonts w:hint="eastAsia" w:ascii="宋体" w:hAnsi="宋体"/>
          <w:b/>
          <w:color w:val="auto"/>
          <w:sz w:val="32"/>
          <w:highlight w:val="none"/>
        </w:rPr>
      </w:pPr>
      <w:bookmarkStart w:id="14" w:name="_Toc650"/>
      <w:r>
        <w:rPr>
          <w:rFonts w:hint="eastAsia" w:ascii="宋体" w:hAnsi="宋体"/>
          <w:b/>
          <w:color w:val="auto"/>
          <w:sz w:val="32"/>
          <w:highlight w:val="none"/>
        </w:rPr>
        <w:t>一、供应商须知前附表</w:t>
      </w:r>
      <w:bookmarkEnd w:id="14"/>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采购预算</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建安费暂定</w:t>
            </w:r>
            <w:r>
              <w:rPr>
                <w:rFonts w:hint="eastAsia" w:cs="宋体"/>
                <w:color w:val="auto"/>
                <w:sz w:val="24"/>
                <w:szCs w:val="24"/>
                <w:highlight w:val="none"/>
                <w:u w:val="none"/>
                <w:lang w:val="en-US" w:eastAsia="zh-CN"/>
              </w:rPr>
              <w:t>25万元</w:t>
            </w:r>
            <w:r>
              <w:rPr>
                <w:rFonts w:hint="eastAsia" w:cs="宋体"/>
                <w:color w:val="auto"/>
                <w:sz w:val="24"/>
                <w:szCs w:val="24"/>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7"/>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5" w:name="OLE_LINK32"/>
            <w:r>
              <w:rPr>
                <w:rFonts w:hint="eastAsia"/>
                <w:color w:val="auto"/>
                <w:sz w:val="24"/>
                <w:highlight w:val="none"/>
                <w:lang w:val="en-US" w:eastAsia="zh-CN"/>
              </w:rPr>
              <w:t>综合单价</w:t>
            </w:r>
            <w:bookmarkEnd w:id="15"/>
            <w:r>
              <w:rPr>
                <w:rFonts w:hint="eastAsia"/>
                <w:color w:val="auto"/>
                <w:sz w:val="24"/>
                <w:highlight w:val="none"/>
                <w:lang w:val="en-US" w:eastAsia="zh-CN"/>
              </w:rPr>
              <w:t>结算方式。</w:t>
            </w:r>
            <w:bookmarkStart w:id="16" w:name="OLE_LINK33"/>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bookmarkEnd w:id="1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7"/>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7"/>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7"/>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7"/>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7"/>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7"/>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询比</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7"/>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7"/>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7"/>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7"/>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7"/>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7"/>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7"/>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固定综合单价下浮费率</w:t>
            </w:r>
            <w:r>
              <w:rPr>
                <w:rFonts w:hint="eastAsia"/>
                <w:color w:val="auto"/>
                <w:highlight w:val="none"/>
                <w:lang w:val="zh-CN"/>
              </w:rPr>
              <w:t>。</w:t>
            </w:r>
          </w:p>
          <w:p>
            <w:pPr>
              <w:pStyle w:val="27"/>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7"/>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val="en-US" w:eastAsia="zh-CN" w:bidi="ar"/>
              </w:rPr>
              <w:t>贰仟元</w:t>
            </w:r>
            <w:r>
              <w:rPr>
                <w:rFonts w:hint="eastAsia"/>
                <w:color w:val="auto"/>
                <w:highlight w:val="none"/>
                <w:lang w:bidi="ar"/>
              </w:rPr>
              <w:t>整）</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highlight w:val="none"/>
                <w:u w:val="single"/>
                <w:lang w:val="en-US" w:eastAsia="zh-CN"/>
              </w:rPr>
              <w:t>泸州港一期建设占用耕地剥离再利用项目</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7"/>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甘先生</w:t>
            </w:r>
            <w:r>
              <w:rPr>
                <w:rFonts w:hint="eastAsia"/>
                <w:color w:val="auto"/>
                <w:highlight w:val="none"/>
              </w:rPr>
              <w:t xml:space="preserve">     </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7"/>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7"/>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7"/>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8"/>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7"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7"/>
            <w:r>
              <w:rPr>
                <w:rFonts w:hint="eastAsia" w:cs="宋体"/>
                <w:color w:val="auto"/>
                <w:sz w:val="24"/>
                <w:szCs w:val="24"/>
                <w:highlight w:val="none"/>
                <w:lang w:eastAsia="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color w:val="auto"/>
                <w:highlight w:val="none"/>
                <w:lang w:val="en-US" w:eastAsia="zh-CN"/>
              </w:rPr>
              <w:t>甘先生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甘</w:t>
            </w:r>
            <w:r>
              <w:rPr>
                <w:rFonts w:hint="eastAsia"/>
                <w:color w:val="auto"/>
                <w:highlight w:val="none"/>
                <w:lang w:val="en-US" w:eastAsia="zh-CN"/>
              </w:rPr>
              <w:t>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甘先生</w:t>
            </w:r>
            <w:r>
              <w:rPr>
                <w:rFonts w:hint="eastAsia" w:ascii="宋体" w:hAnsi="宋体" w:cs="宋体"/>
                <w:color w:val="auto"/>
                <w:kern w:val="0"/>
                <w:sz w:val="24"/>
                <w:highlight w:val="none"/>
              </w:rPr>
              <w:t xml:space="preserve">   </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7"/>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rPr>
              <w:sym w:font="Wingdings 2" w:char="00A3"/>
            </w:r>
            <w:bookmarkStart w:id="18" w:name="OLE_LINK26"/>
            <w:r>
              <w:rPr>
                <w:rFonts w:hint="eastAsia"/>
                <w:b/>
                <w:color w:val="auto"/>
                <w:highlight w:val="none"/>
                <w:lang w:val="zh-CN"/>
              </w:rPr>
              <w:t>兴阳集团招</w:t>
            </w:r>
            <w:r>
              <w:rPr>
                <w:rFonts w:hint="eastAsia"/>
                <w:b/>
                <w:bCs/>
                <w:color w:val="auto"/>
                <w:highlight w:val="none"/>
              </w:rPr>
              <w:t>投标采购中心</w:t>
            </w:r>
            <w:bookmarkEnd w:id="18"/>
            <w:r>
              <w:rPr>
                <w:rFonts w:hint="eastAsia"/>
                <w:color w:val="auto"/>
                <w:highlight w:val="none"/>
                <w:lang w:val="zh-CN"/>
              </w:rPr>
              <w:t>负责答复。</w:t>
            </w:r>
          </w:p>
          <w:p>
            <w:pPr>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甘先生</w:t>
            </w:r>
            <w:r>
              <w:rPr>
                <w:rFonts w:hint="eastAsia" w:ascii="宋体" w:hAnsi="宋体" w:cs="宋体"/>
                <w:color w:val="auto"/>
                <w:kern w:val="0"/>
                <w:sz w:val="24"/>
                <w:highlight w:val="none"/>
              </w:rPr>
              <w:t>。</w:t>
            </w:r>
          </w:p>
          <w:p>
            <w:pPr>
              <w:pStyle w:val="27"/>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en-US" w:eastAsia="zh-CN"/>
              </w:rPr>
              <w:t>泸州兴阳建川实业有限公司</w:t>
            </w:r>
            <w:r>
              <w:rPr>
                <w:rFonts w:hint="eastAsia"/>
                <w:color w:val="auto"/>
                <w:highlight w:val="none"/>
                <w:lang w:val="zh-CN"/>
              </w:rPr>
              <w:t>负责答复。</w:t>
            </w:r>
          </w:p>
          <w:p>
            <w:pPr>
              <w:pStyle w:val="27"/>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甘先生。</w:t>
            </w:r>
            <w:r>
              <w:rPr>
                <w:rFonts w:hint="eastAsia" w:ascii="宋体" w:hAnsi="宋体" w:cs="宋体"/>
                <w:color w:val="auto"/>
                <w:kern w:val="0"/>
                <w:sz w:val="24"/>
                <w:highlight w:val="none"/>
              </w:rPr>
              <w:t xml:space="preserve"> </w:t>
            </w:r>
          </w:p>
          <w:p>
            <w:pPr>
              <w:pStyle w:val="27"/>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p>
          <w:p>
            <w:pPr>
              <w:pStyle w:val="27"/>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6"/>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7"/>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20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w:t>
            </w:r>
            <w:r>
              <w:rPr>
                <w:rFonts w:hint="eastAsia" w:ascii="宋体" w:hAnsi="宋体" w:cs="宋体"/>
                <w:color w:val="auto"/>
                <w:sz w:val="24"/>
                <w:highlight w:val="none"/>
                <w:lang w:val="en-US" w:eastAsia="zh-CN"/>
              </w:rPr>
              <w:t>询比</w:t>
            </w:r>
            <w:r>
              <w:rPr>
                <w:rFonts w:hint="eastAsia" w:ascii="宋体" w:hAnsi="宋体" w:cs="宋体"/>
                <w:color w:val="auto"/>
                <w:sz w:val="24"/>
                <w:highlight w:val="none"/>
              </w:rPr>
              <w:t>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2025年6月26日前进场开工起45日历天内竣工验收并合格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9"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9"/>
            <w:r>
              <w:rPr>
                <w:rFonts w:hint="eastAsia" w:ascii="宋体" w:hAnsi="宋体" w:cs="宋体"/>
                <w:color w:val="auto"/>
                <w:sz w:val="24"/>
                <w:highlight w:val="none"/>
              </w:rPr>
              <w:t>。</w:t>
            </w:r>
          </w:p>
          <w:p>
            <w:pPr>
              <w:pStyle w:val="27"/>
              <w:spacing w:line="312" w:lineRule="auto"/>
              <w:ind w:firstLine="241" w:firstLineChars="100"/>
              <w:rPr>
                <w:rFonts w:hint="eastAsia"/>
                <w:color w:val="auto"/>
                <w:highlight w:val="none"/>
                <w:lang w:val="zh-CN"/>
              </w:rPr>
            </w:pPr>
            <w:bookmarkStart w:id="20" w:name="OLE_LINK12"/>
            <w:r>
              <w:rPr>
                <w:rFonts w:hint="eastAsia"/>
                <w:b/>
                <w:bCs/>
                <w:color w:val="auto"/>
                <w:highlight w:val="none"/>
                <w:lang w:eastAsia="zh-CN"/>
              </w:rPr>
              <w:t>□</w:t>
            </w:r>
            <w:bookmarkEnd w:id="20"/>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1" w:name="_Toc29098"/>
      <w:r>
        <w:rPr>
          <w:rFonts w:hint="eastAsia" w:ascii="宋体" w:hAnsi="宋体"/>
          <w:b/>
          <w:color w:val="auto"/>
          <w:sz w:val="32"/>
          <w:highlight w:val="none"/>
        </w:rPr>
        <w:t>二、总则</w:t>
      </w:r>
      <w:bookmarkEnd w:id="2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2" w:name="_Toc29551"/>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22"/>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3" w:name="_Toc5605"/>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5"/>
          <w:color w:val="auto"/>
          <w:sz w:val="24"/>
          <w:szCs w:val="24"/>
          <w:highlight w:val="none"/>
        </w:rPr>
      </w:pPr>
      <w:r>
        <w:rPr>
          <w:color w:val="auto"/>
          <w:sz w:val="24"/>
          <w:highlight w:val="none"/>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4" w:name="_Toc14243"/>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4"/>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25" w:name="_Toc30138"/>
      <w:r>
        <w:rPr>
          <w:rFonts w:ascii="宋体" w:hAnsi="宋体"/>
          <w:b/>
          <w:color w:val="auto"/>
          <w:sz w:val="32"/>
          <w:highlight w:val="none"/>
        </w:rPr>
        <w:t>六、成交事项</w:t>
      </w:r>
      <w:bookmarkEnd w:id="25"/>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6" w:name="_Toc21876"/>
      <w:r>
        <w:rPr>
          <w:rFonts w:ascii="宋体" w:hAnsi="宋体"/>
          <w:b/>
          <w:color w:val="auto"/>
          <w:sz w:val="32"/>
          <w:highlight w:val="none"/>
        </w:rPr>
        <w:t>七、合同事项</w:t>
      </w:r>
      <w:bookmarkEnd w:id="26"/>
    </w:p>
    <w:p>
      <w:pPr>
        <w:spacing w:line="360" w:lineRule="auto"/>
        <w:rPr>
          <w:b/>
          <w:color w:val="auto"/>
          <w:sz w:val="24"/>
          <w:highlight w:val="none"/>
        </w:rPr>
      </w:pPr>
      <w:bookmarkStart w:id="27" w:name="_Toc101174151"/>
      <w:bookmarkStart w:id="28" w:name="_Toc430773927"/>
      <w:bookmarkStart w:id="29" w:name="_Toc209847069"/>
      <w:bookmarkStart w:id="30" w:name="_Toc101250646"/>
      <w:bookmarkStart w:id="31" w:name="_Toc101338364"/>
      <w:r>
        <w:rPr>
          <w:b/>
          <w:color w:val="auto"/>
          <w:sz w:val="24"/>
          <w:highlight w:val="none"/>
        </w:rPr>
        <w:t>25.签订合同</w:t>
      </w:r>
      <w:bookmarkEnd w:id="27"/>
      <w:bookmarkEnd w:id="28"/>
      <w:bookmarkEnd w:id="29"/>
      <w:bookmarkEnd w:id="30"/>
      <w:bookmarkEnd w:id="31"/>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spacing w:after="240" w:afterLines="100"/>
        <w:ind w:firstLine="480" w:firstLineChars="200"/>
        <w:jc w:val="both"/>
        <w:outlineLvl w:val="1"/>
        <w:rPr>
          <w:color w:val="auto"/>
          <w:sz w:val="24"/>
          <w:highlight w:val="none"/>
        </w:rPr>
      </w:pPr>
      <w:bookmarkStart w:id="32" w:name="_Toc19556"/>
      <w:bookmarkStart w:id="33" w:name="_Toc7287"/>
      <w:bookmarkStart w:id="34" w:name="_Toc26953"/>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bookmarkEnd w:id="32"/>
      <w:bookmarkEnd w:id="33"/>
      <w:bookmarkEnd w:id="34"/>
    </w:p>
    <w:p>
      <w:pPr>
        <w:spacing w:after="240" w:afterLines="100"/>
        <w:ind w:firstLine="480"/>
        <w:jc w:val="center"/>
        <w:outlineLvl w:val="1"/>
        <w:rPr>
          <w:rFonts w:ascii="宋体" w:hAnsi="宋体"/>
          <w:b/>
          <w:color w:val="auto"/>
          <w:sz w:val="32"/>
          <w:highlight w:val="none"/>
        </w:rPr>
      </w:pPr>
      <w:bookmarkStart w:id="35" w:name="_Toc14407"/>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3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6" w:name="_Toc26618"/>
      <w:r>
        <w:rPr>
          <w:rFonts w:ascii="宋体" w:hAnsi="宋体"/>
          <w:b/>
          <w:color w:val="auto"/>
          <w:sz w:val="32"/>
          <w:highlight w:val="none"/>
        </w:rPr>
        <w:t>九、询问、质疑和投诉</w:t>
      </w:r>
      <w:bookmarkEnd w:id="3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7" w:name="_Toc3689"/>
      <w:r>
        <w:rPr>
          <w:rFonts w:ascii="宋体" w:hAnsi="宋体"/>
          <w:b/>
          <w:color w:val="auto"/>
          <w:sz w:val="32"/>
          <w:highlight w:val="none"/>
        </w:rPr>
        <w:t>十、其他</w:t>
      </w:r>
      <w:bookmarkEnd w:id="37"/>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8" w:name="_Toc183582232"/>
      <w:bookmarkStart w:id="39" w:name="_Toc217446057"/>
      <w:bookmarkStart w:id="40" w:name="_Toc183682369"/>
      <w:r>
        <w:rPr>
          <w:rFonts w:ascii="黑体" w:hAnsi="黑体" w:eastAsia="黑体"/>
          <w:color w:val="auto"/>
          <w:sz w:val="36"/>
          <w:highlight w:val="none"/>
        </w:rPr>
        <w:br w:type="page"/>
      </w:r>
      <w:bookmarkStart w:id="41" w:name="_Toc32183"/>
      <w:r>
        <w:rPr>
          <w:rFonts w:hint="eastAsia" w:ascii="黑体" w:hAnsi="黑体" w:eastAsia="黑体"/>
          <w:color w:val="auto"/>
          <w:sz w:val="36"/>
          <w:highlight w:val="none"/>
        </w:rPr>
        <w:t>第三章 项目技术、服务及商务要求</w:t>
      </w:r>
      <w:bookmarkEnd w:id="41"/>
    </w:p>
    <w:p>
      <w:pPr>
        <w:outlineLvl w:val="1"/>
        <w:rPr>
          <w:rFonts w:hint="eastAsia" w:ascii="宋体" w:hAnsi="宋体"/>
          <w:b/>
          <w:color w:val="auto"/>
          <w:sz w:val="32"/>
          <w:highlight w:val="none"/>
        </w:rPr>
      </w:pPr>
      <w:bookmarkStart w:id="42" w:name="_Toc15979"/>
      <w:bookmarkStart w:id="43" w:name="_Toc15797"/>
      <w:r>
        <w:rPr>
          <w:rFonts w:hint="eastAsia" w:ascii="宋体" w:hAnsi="宋体"/>
          <w:b/>
          <w:color w:val="auto"/>
          <w:sz w:val="32"/>
          <w:highlight w:val="none"/>
        </w:rPr>
        <w:t>一、项目概况</w:t>
      </w:r>
      <w:bookmarkEnd w:id="42"/>
      <w:bookmarkEnd w:id="43"/>
    </w:p>
    <w:p>
      <w:pPr>
        <w:spacing w:after="120" w:line="360" w:lineRule="auto"/>
        <w:ind w:firstLine="480" w:firstLineChars="200"/>
        <w:rPr>
          <w:rFonts w:hint="default" w:ascii="宋体" w:hAnsi="宋体"/>
          <w:b/>
          <w:bCs/>
          <w:color w:val="auto"/>
          <w:sz w:val="32"/>
          <w:highlight w:val="none"/>
          <w:lang w:val="en-US"/>
        </w:rPr>
      </w:pPr>
      <w:r>
        <w:rPr>
          <w:rFonts w:hint="eastAsia" w:ascii="宋体" w:hAnsi="宋体" w:eastAsia="宋体" w:cs="宋体"/>
          <w:color w:val="auto"/>
          <w:kern w:val="2"/>
          <w:sz w:val="24"/>
          <w:szCs w:val="24"/>
          <w:highlight w:val="none"/>
          <w:lang w:val="en-US" w:eastAsia="zh-CN" w:bidi="ar-SA"/>
        </w:rPr>
        <w:t>泸州港龙江港区大脚石作业区一期工程项目位于泸州市江阳区江北镇岱宗村、先锋村，长江大渡口水道左岸。项目新建4个1000吨级泊位，占用岸线450米。项目建设用地总面积26.5290公顷，其中耕地面积 15.1404公顷，占用一般耕地质量等级3等以上面积1.0592 公顷。按照《四川省人民政府办公厅关于建设占用耕地耕作层土壤剥离再利用的通知》(川办函(2024)100号)、《四川省自然资源厅办公室关于明确建设用地报批涉及耕地占补平衡有关事项的通知》([2025]-11)等相关文件要求，需要对耕地质量3等级的耕地进行耕作层剥离利用。耕作层土壤剥离面积1.0592公顷，其中剥离水田面积0.2501公顷，剥离旱地面积0.8091公顷，剥离耕作层土壤约2773立方米。</w:t>
      </w:r>
      <w:r>
        <w:rPr>
          <w:rFonts w:hint="eastAsia" w:ascii="宋体" w:hAnsi="宋体" w:eastAsia="宋体" w:cs="宋体"/>
          <w:color w:val="auto"/>
          <w:sz w:val="24"/>
          <w:highlight w:val="none"/>
          <w:lang w:val="en-US" w:eastAsia="zh-CN"/>
        </w:rPr>
        <w:t>以图纸</w:t>
      </w:r>
      <w:r>
        <w:rPr>
          <w:rFonts w:hint="eastAsia" w:ascii="宋体" w:hAnsi="宋体" w:cs="宋体"/>
          <w:color w:val="auto"/>
          <w:sz w:val="24"/>
          <w:highlight w:val="none"/>
          <w:lang w:val="en-US" w:eastAsia="zh-CN"/>
        </w:rPr>
        <w:t>或方案</w:t>
      </w:r>
      <w:r>
        <w:rPr>
          <w:rFonts w:hint="eastAsia" w:ascii="宋体" w:hAnsi="宋体" w:eastAsia="宋体" w:cs="宋体"/>
          <w:color w:val="auto"/>
          <w:sz w:val="24"/>
          <w:highlight w:val="none"/>
          <w:lang w:val="en-US" w:eastAsia="zh-CN"/>
        </w:rPr>
        <w:t>范围内或工程量清单范围内的其他内容</w:t>
      </w:r>
      <w:r>
        <w:rPr>
          <w:rFonts w:hint="eastAsia" w:ascii="宋体" w:hAnsi="宋体" w:cs="宋体"/>
          <w:color w:val="auto"/>
          <w:sz w:val="24"/>
          <w:highlight w:val="none"/>
          <w:lang w:val="en-US" w:eastAsia="zh-CN"/>
        </w:rPr>
        <w:t>为准，</w:t>
      </w:r>
      <w:r>
        <w:rPr>
          <w:rFonts w:hint="eastAsia" w:ascii="宋体" w:hAnsi="宋体" w:eastAsia="宋体" w:cs="宋体"/>
          <w:color w:val="auto"/>
          <w:sz w:val="24"/>
          <w:highlight w:val="none"/>
          <w:lang w:val="en-US" w:eastAsia="zh-CN"/>
        </w:rPr>
        <w:t>包含耕作层土壤管护22个月的管护期（种草和管护）和当绿化区域满足覆土条件后及时覆土</w:t>
      </w:r>
      <w:r>
        <w:rPr>
          <w:rFonts w:hint="eastAsia" w:ascii="宋体" w:hAnsi="宋体" w:cs="宋体"/>
          <w:b/>
          <w:bCs/>
          <w:color w:val="auto"/>
          <w:sz w:val="24"/>
          <w:highlight w:val="none"/>
          <w:lang w:val="en-US" w:eastAsia="zh-CN"/>
        </w:rPr>
        <w:t>。</w:t>
      </w:r>
    </w:p>
    <w:p>
      <w:pPr>
        <w:outlineLvl w:val="1"/>
        <w:rPr>
          <w:rFonts w:hint="default" w:ascii="宋体" w:hAnsi="宋体" w:eastAsia="宋体"/>
          <w:b/>
          <w:color w:val="auto"/>
          <w:sz w:val="32"/>
          <w:highlight w:val="none"/>
          <w:lang w:val="en-US" w:eastAsia="zh-CN"/>
        </w:rPr>
      </w:pPr>
      <w:bookmarkStart w:id="44" w:name="_Toc27937"/>
      <w:bookmarkStart w:id="45" w:name="_Toc21119"/>
      <w:r>
        <w:rPr>
          <w:rFonts w:hint="eastAsia" w:ascii="宋体" w:hAnsi="宋体"/>
          <w:b/>
          <w:color w:val="auto"/>
          <w:sz w:val="32"/>
          <w:highlight w:val="none"/>
          <w:lang w:val="en-US" w:eastAsia="zh-CN"/>
        </w:rPr>
        <w:t>二、技术要求</w:t>
      </w:r>
      <w:bookmarkEnd w:id="44"/>
      <w:bookmarkEnd w:id="45"/>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工程量清单综合单价（包括分部分项和单价措施清单）</w:t>
      </w:r>
      <w:r>
        <w:rPr>
          <w:rFonts w:hint="eastAsia" w:ascii="宋体" w:hAnsi="宋体" w:cs="宋体"/>
          <w:color w:val="auto"/>
          <w:sz w:val="24"/>
          <w:highlight w:val="none"/>
          <w:lang w:val="en-US" w:eastAsia="zh-CN"/>
        </w:rPr>
        <w:t>以业主聘请的第三方造价咨询单位评审报告的综合单价下浮17.5%作为劳务结算固定综合单价</w:t>
      </w:r>
      <w:r>
        <w:rPr>
          <w:rFonts w:hint="eastAsia" w:ascii="宋体" w:hAnsi="宋体" w:eastAsia="宋体" w:cs="宋体"/>
          <w:color w:val="auto"/>
          <w:sz w:val="24"/>
          <w:highlight w:val="none"/>
        </w:rPr>
        <w:t>，工程量</w:t>
      </w:r>
      <w:r>
        <w:rPr>
          <w:rFonts w:hint="eastAsia" w:ascii="宋体" w:hAnsi="宋体" w:eastAsia="宋体" w:cs="宋体"/>
          <w:color w:val="auto"/>
          <w:sz w:val="24"/>
          <w:szCs w:val="24"/>
          <w:highlight w:val="none"/>
        </w:rPr>
        <w:t>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实际完成并经工程</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确认的符合合同约定质量标准的劳务作业数量进行计算</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工程采购人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w:t>
      </w:r>
      <w:r>
        <w:rPr>
          <w:rFonts w:hint="eastAsia" w:ascii="宋体" w:hAnsi="宋体" w:cs="宋体"/>
          <w:color w:val="auto"/>
          <w:sz w:val="24"/>
          <w:highlight w:val="none"/>
          <w:lang w:val="en-US" w:eastAsia="zh-CN"/>
        </w:rPr>
        <w:t>0.157%</w:t>
      </w:r>
      <w:r>
        <w:rPr>
          <w:rFonts w:hint="eastAsia" w:ascii="宋体" w:hAnsi="宋体" w:eastAsia="宋体" w:cs="宋体"/>
          <w:color w:val="auto"/>
          <w:sz w:val="24"/>
          <w:highlight w:val="none"/>
          <w:lang w:eastAsia="zh-CN"/>
        </w:rPr>
        <w:t>计取</w:t>
      </w:r>
      <w:r>
        <w:rPr>
          <w:rFonts w:hint="eastAsia" w:ascii="宋体" w:hAnsi="宋体" w:cs="宋体"/>
          <w:color w:val="auto"/>
          <w:sz w:val="24"/>
          <w:highlight w:val="none"/>
          <w:lang w:val="en-US" w:eastAsia="zh-CN"/>
        </w:rPr>
        <w:t>与工程采购人结算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sz w:val="24"/>
          <w:highlight w:val="none"/>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（包括业主、工程采购人的竣工资料和结算文件）</w:t>
      </w:r>
      <w:r>
        <w:rPr>
          <w:rFonts w:hint="eastAsia" w:ascii="宋体" w:hAnsi="宋体" w:eastAsia="宋体" w:cs="宋体"/>
          <w:color w:val="auto"/>
          <w:sz w:val="24"/>
          <w:highlight w:val="none"/>
          <w:lang w:val="en-US" w:eastAsia="zh-CN"/>
        </w:rPr>
        <w:t>由</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编制，</w:t>
      </w:r>
      <w:r>
        <w:rPr>
          <w:rFonts w:hint="eastAsia" w:ascii="宋体" w:hAnsi="宋体" w:cs="宋体"/>
          <w:color w:val="auto"/>
          <w:sz w:val="24"/>
          <w:highlight w:val="none"/>
          <w:lang w:val="en-US" w:eastAsia="zh-CN"/>
        </w:rPr>
        <w:t>由工程采购人交业主聘请的第三方造价咨询单位或江阳区政府投资结算审核服务中心审核，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支付。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cs="宋体"/>
          <w:color w:val="auto"/>
          <w:sz w:val="24"/>
          <w:highlight w:val="none"/>
          <w:lang w:val="en-US" w:eastAsia="zh-CN"/>
        </w:rPr>
      </w:pPr>
      <w:bookmarkStart w:id="46" w:name="_Toc12445"/>
      <w:bookmarkStart w:id="47" w:name="_Toc5130"/>
      <w:bookmarkStart w:id="48" w:name="_Toc30844"/>
      <w:r>
        <w:rPr>
          <w:rFonts w:hint="eastAsia" w:ascii="宋体" w:hAnsi="宋体" w:eastAsia="宋体" w:cs="宋体"/>
          <w:color w:val="auto"/>
          <w:sz w:val="24"/>
          <w:highlight w:val="none"/>
          <w:lang w:val="en-US" w:eastAsia="zh-CN"/>
        </w:rPr>
        <w:t>主要材料、设备：</w:t>
      </w:r>
      <w:r>
        <w:rPr>
          <w:rFonts w:hint="eastAsia" w:ascii="宋体" w:hAnsi="宋体" w:cs="宋体"/>
          <w:color w:val="auto"/>
          <w:sz w:val="24"/>
          <w:highlight w:val="none"/>
          <w:lang w:val="en-US" w:eastAsia="zh-CN"/>
        </w:rPr>
        <w:t>除由工程采购人采购以外，施工范围内</w:t>
      </w:r>
      <w:r>
        <w:rPr>
          <w:rFonts w:hint="eastAsia" w:ascii="宋体" w:hAnsi="宋体" w:eastAsia="宋体" w:cs="宋体"/>
          <w:color w:val="auto"/>
          <w:sz w:val="24"/>
          <w:highlight w:val="none"/>
          <w:lang w:val="en-US" w:eastAsia="zh-CN"/>
        </w:rPr>
        <w:t>施工现场所用材料及清单项目所包含的材料</w:t>
      </w:r>
      <w:r>
        <w:rPr>
          <w:rFonts w:hint="eastAsia" w:ascii="宋体" w:hAnsi="宋体" w:cs="宋体"/>
          <w:color w:val="auto"/>
          <w:sz w:val="24"/>
          <w:highlight w:val="none"/>
          <w:lang w:val="en-US" w:eastAsia="zh-CN"/>
        </w:rPr>
        <w:t>委托供应商采</w:t>
      </w:r>
      <w:r>
        <w:rPr>
          <w:rFonts w:hint="eastAsia" w:ascii="宋体" w:hAnsi="宋体" w:eastAsia="宋体" w:cs="宋体"/>
          <w:color w:val="auto"/>
          <w:sz w:val="24"/>
          <w:highlight w:val="none"/>
          <w:lang w:val="en-US" w:eastAsia="zh-CN"/>
        </w:rPr>
        <w:t>买</w:t>
      </w:r>
      <w:r>
        <w:rPr>
          <w:rFonts w:hint="eastAsia" w:ascii="宋体" w:hAnsi="宋体" w:cs="宋体"/>
          <w:color w:val="auto"/>
          <w:sz w:val="24"/>
          <w:highlight w:val="none"/>
          <w:lang w:val="en-US" w:eastAsia="zh-CN"/>
        </w:rPr>
        <w:t>，并入劳务施工结算。</w:t>
      </w:r>
      <w:bookmarkEnd w:id="46"/>
      <w:bookmarkEnd w:id="47"/>
      <w:bookmarkEnd w:id="48"/>
    </w:p>
    <w:p>
      <w:pPr>
        <w:pStyle w:val="2"/>
        <w:numPr>
          <w:ilvl w:val="0"/>
          <w:numId w:val="0"/>
        </w:numPr>
        <w:ind w:firstLine="482" w:firstLineChars="200"/>
        <w:rPr>
          <w:rFonts w:hint="default"/>
          <w:b/>
          <w:bCs/>
          <w:color w:val="auto"/>
          <w:sz w:val="24"/>
          <w:szCs w:val="24"/>
          <w:highlight w:val="none"/>
          <w:lang w:val="en-US" w:eastAsia="zh-CN"/>
        </w:rPr>
      </w:pPr>
      <w:r>
        <w:rPr>
          <w:rFonts w:hint="eastAsia"/>
          <w:b/>
          <w:bCs/>
          <w:color w:val="auto"/>
          <w:sz w:val="24"/>
          <w:szCs w:val="24"/>
          <w:highlight w:val="none"/>
          <w:lang w:val="en-US" w:eastAsia="zh-CN"/>
        </w:rPr>
        <w:t>5、其他相关技术要求详见文件后附合同。</w:t>
      </w:r>
    </w:p>
    <w:p>
      <w:pPr>
        <w:outlineLvl w:val="1"/>
        <w:rPr>
          <w:rFonts w:hint="eastAsia" w:ascii="宋体" w:hAnsi="宋体"/>
          <w:b/>
          <w:color w:val="auto"/>
          <w:sz w:val="32"/>
          <w:highlight w:val="none"/>
        </w:rPr>
      </w:pPr>
      <w:bookmarkStart w:id="49" w:name="_Toc4650"/>
      <w:bookmarkStart w:id="50" w:name="_Toc15167"/>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49"/>
      <w:bookmarkEnd w:id="50"/>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1.严格按照施工图纸要求进行施工。</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2.按国家相关标准进行验收，达到合格标准。</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eastAsia="宋体" w:cs="宋体"/>
          <w:color w:val="auto"/>
          <w:sz w:val="24"/>
          <w:highlight w:val="none"/>
          <w:lang w:val="en-US" w:eastAsia="zh-CN"/>
        </w:rPr>
        <w:t>采用</w:t>
      </w:r>
      <w:r>
        <w:rPr>
          <w:rFonts w:hint="eastAsia" w:ascii="宋体" w:hAnsi="宋体" w:cs="宋体"/>
          <w:color w:val="auto"/>
          <w:sz w:val="24"/>
          <w:highlight w:val="none"/>
          <w:lang w:val="en-US" w:eastAsia="zh-CN"/>
        </w:rPr>
        <w:t>固定综合单价</w:t>
      </w:r>
      <w:r>
        <w:rPr>
          <w:rFonts w:hint="eastAsia" w:ascii="宋体" w:hAnsi="宋体" w:eastAsia="宋体" w:cs="宋体"/>
          <w:color w:val="auto"/>
          <w:sz w:val="24"/>
          <w:highlight w:val="none"/>
          <w:lang w:val="en-US" w:eastAsia="zh-CN"/>
        </w:rPr>
        <w:t>结算方式。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lang w:val="en-US" w:eastAsia="zh-CN"/>
        </w:rPr>
        <w:t>4.</w:t>
      </w:r>
      <w:bookmarkStart w:id="51" w:name="OLE_LINK19"/>
      <w:r>
        <w:rPr>
          <w:rFonts w:hint="eastAsia" w:ascii="宋体" w:hAnsi="宋体" w:cs="宋体"/>
          <w:bCs/>
          <w:color w:val="auto"/>
          <w:sz w:val="24"/>
          <w:highlight w:val="none"/>
          <w:lang w:val="en-US" w:eastAsia="zh-CN"/>
        </w:rPr>
        <w:t>.</w:t>
      </w:r>
      <w:bookmarkStart w:id="52" w:name="OLE_LINK20"/>
      <w:bookmarkStart w:id="53" w:name="OLE_LINK21"/>
      <w:bookmarkStart w:id="54" w:name="OLE_LINK24"/>
      <w:r>
        <w:rPr>
          <w:rFonts w:hint="eastAsia" w:ascii="宋体" w:hAnsi="宋体" w:eastAsia="宋体" w:cs="宋体"/>
          <w:color w:val="auto"/>
          <w:kern w:val="0"/>
          <w:sz w:val="24"/>
          <w:szCs w:val="24"/>
          <w:highlight w:val="none"/>
          <w:lang w:val="en-US" w:eastAsia="zh-CN"/>
        </w:rPr>
        <w:t>如果是省外企业，应具有有效的《四川省省外建筑企业入川承揽业务验证登记证》或带二维码的《四川省省外施工、监理入川承揽业务信息录入证</w:t>
      </w:r>
      <w:bookmarkEnd w:id="52"/>
      <w:r>
        <w:rPr>
          <w:rFonts w:hint="eastAsia" w:ascii="宋体" w:hAnsi="宋体" w:eastAsia="宋体" w:cs="宋体"/>
          <w:color w:val="auto"/>
          <w:kern w:val="0"/>
          <w:sz w:val="24"/>
          <w:szCs w:val="24"/>
          <w:highlight w:val="none"/>
          <w:lang w:val="en-US" w:eastAsia="zh-CN"/>
        </w:rPr>
        <w:t>》</w:t>
      </w:r>
      <w:bookmarkEnd w:id="53"/>
      <w:r>
        <w:rPr>
          <w:rFonts w:hint="eastAsia" w:ascii="宋体" w:hAnsi="宋体" w:eastAsia="宋体" w:cs="宋体"/>
          <w:color w:val="auto"/>
          <w:kern w:val="0"/>
          <w:sz w:val="24"/>
          <w:szCs w:val="24"/>
          <w:highlight w:val="none"/>
          <w:lang w:val="en-US" w:eastAsia="zh-CN"/>
        </w:rPr>
        <w:t>。</w:t>
      </w:r>
      <w:bookmarkEnd w:id="51"/>
      <w:bookmarkEnd w:id="54"/>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人员要求：项目负责人具有建筑工程专业二级及以上建造师资格，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月，采购人将对以上人员社保缴纳情况进行审查，如发现社保未在本单位购买的情形，将作为废标处理。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宋体" w:hAnsi="宋体" w:eastAsia="宋体" w:cs="宋体"/>
          <w:b w:val="0"/>
          <w:bCs/>
          <w:color w:val="auto"/>
          <w:kern w:val="2"/>
          <w:sz w:val="24"/>
          <w:szCs w:val="24"/>
          <w:highlight w:val="none"/>
          <w:lang w:val="en-US" w:eastAsia="zh-CN" w:bidi="ar-SA"/>
        </w:rPr>
      </w:pPr>
      <w:bookmarkStart w:id="55" w:name="_Toc10896"/>
      <w:bookmarkStart w:id="56" w:name="_Toc19282"/>
      <w:bookmarkStart w:id="57" w:name="_Toc32021"/>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CN" w:bidi="ar-SA"/>
        </w:rPr>
        <w:t>.供应商具备一定的垫资能力，如因跟踪审计等原因导致付款时间延后，供应商应先行垫付工人工资，避免因拖欠工资而造成社会舆论。</w:t>
      </w:r>
      <w:bookmarkEnd w:id="55"/>
      <w:bookmarkEnd w:id="56"/>
      <w:bookmarkEnd w:id="57"/>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w:t>
      </w:r>
      <w:r>
        <w:rPr>
          <w:rFonts w:hint="eastAsia" w:ascii="宋体" w:hAnsi="宋体" w:cs="宋体"/>
          <w:b w:val="0"/>
          <w:bCs/>
          <w:color w:val="auto"/>
          <w:kern w:val="2"/>
          <w:sz w:val="24"/>
          <w:szCs w:val="24"/>
          <w:highlight w:val="none"/>
          <w:lang w:val="en-US" w:eastAsia="zh-CN" w:bidi="ar-SA"/>
        </w:rPr>
        <w:t>成交供应商应无条件配合采购人完成开工仪式、表土剥离相关准备工作，包括但不限于机械设备、人员、材料等。相应费用已包含在清单综合单价中，采购人不另行支付。</w:t>
      </w:r>
    </w:p>
    <w:p>
      <w:pPr>
        <w:outlineLvl w:val="1"/>
        <w:rPr>
          <w:rFonts w:hint="eastAsia" w:ascii="宋体" w:hAnsi="宋体"/>
          <w:b/>
          <w:color w:val="auto"/>
          <w:sz w:val="32"/>
          <w:highlight w:val="none"/>
        </w:rPr>
      </w:pPr>
      <w:bookmarkStart w:id="58" w:name="_Toc8438"/>
      <w:bookmarkStart w:id="59" w:name="_Toc24657"/>
      <w:r>
        <w:rPr>
          <w:rFonts w:hint="eastAsia" w:ascii="宋体" w:hAnsi="宋体"/>
          <w:b/>
          <w:color w:val="auto"/>
          <w:sz w:val="32"/>
          <w:highlight w:val="none"/>
          <w:lang w:val="en-US" w:eastAsia="zh-CN"/>
        </w:rPr>
        <w:t>四</w:t>
      </w:r>
      <w:r>
        <w:rPr>
          <w:rFonts w:hint="eastAsia" w:ascii="宋体" w:hAnsi="宋体"/>
          <w:b/>
          <w:color w:val="auto"/>
          <w:sz w:val="32"/>
          <w:highlight w:val="none"/>
        </w:rPr>
        <w:t>、商务要求</w:t>
      </w:r>
      <w:bookmarkEnd w:id="58"/>
      <w:bookmarkEnd w:id="59"/>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工程竣工并验收合格，劳务等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质保金在质量缺陷责任期届满后无息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rPr>
          <w:rFonts w:hint="eastAsia"/>
          <w:color w:val="auto"/>
          <w:sz w:val="24"/>
          <w:highlight w:val="none"/>
          <w:lang w:val="en-US" w:eastAsia="zh-CN"/>
        </w:rPr>
      </w:pPr>
      <w:r>
        <w:rPr>
          <w:rFonts w:hint="eastAsia"/>
          <w:color w:val="auto"/>
          <w:sz w:val="24"/>
          <w:highlight w:val="none"/>
          <w:lang w:val="en-US" w:eastAsia="zh-CN"/>
        </w:rPr>
        <w:br w:type="page"/>
      </w:r>
    </w:p>
    <w:p>
      <w:pPr>
        <w:pStyle w:val="6"/>
        <w:bidi w:val="0"/>
        <w:jc w:val="center"/>
        <w:rPr>
          <w:rFonts w:hint="eastAsia" w:ascii="黑体" w:hAnsi="黑体" w:eastAsia="黑体"/>
          <w:bCs/>
          <w:color w:val="auto"/>
          <w:szCs w:val="32"/>
          <w:highlight w:val="none"/>
        </w:rPr>
      </w:pPr>
      <w:bookmarkStart w:id="60" w:name="_Toc8613"/>
      <w:r>
        <w:rPr>
          <w:rFonts w:hint="eastAsia"/>
          <w:color w:val="auto"/>
        </w:rPr>
        <w:t>第四章 响应文件格式</w:t>
      </w:r>
      <w:bookmarkEnd w:id="60"/>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XYJCCG[2025]-042号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泸州港龙江港区大脚石作业区一期工程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建设占用耕地耕作层土壤剥离再利用实施工程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52"/>
          <w:szCs w:val="52"/>
          <w:highlight w:val="none"/>
          <w:lang w:val="en-US"/>
        </w:rPr>
      </w:pPr>
      <w:r>
        <w:rPr>
          <w:rFonts w:hint="eastAsia" w:ascii="宋体" w:cs="Times New Roman"/>
          <w:b/>
          <w:color w:val="auto"/>
          <w:sz w:val="36"/>
          <w:szCs w:val="36"/>
          <w:highlight w:val="none"/>
          <w:lang w:val="en-US" w:eastAsia="zh-CN"/>
        </w:rPr>
        <w:t>劳务等分包采购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1" w:name="_Toc19447"/>
      <w:r>
        <w:rPr>
          <w:rFonts w:hint="eastAsia" w:ascii="黑体" w:hAnsi="黑体" w:eastAsia="黑体" w:cs="Arial"/>
          <w:bCs/>
          <w:color w:val="auto"/>
          <w:sz w:val="32"/>
          <w:szCs w:val="32"/>
          <w:highlight w:val="none"/>
        </w:rPr>
        <w:t>一、报价函</w:t>
      </w:r>
      <w:bookmarkEnd w:id="6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r>
        <w:rPr>
          <w:rFonts w:hint="eastAsia" w:ascii="宋体" w:hAnsi="宋体"/>
          <w:color w:val="auto"/>
          <w:sz w:val="24"/>
          <w:highlight w:val="none"/>
          <w:u w:val="single"/>
          <w:lang w:val="en-US" w:eastAsia="zh-CN"/>
        </w:rPr>
        <w:t>按项目业主聘请的第三方造价咨询单位出具的评审报告综合单价下浮17.5%作为劳务等分包综合单价结算</w:t>
      </w:r>
      <w:r>
        <w:rPr>
          <w:color w:val="auto"/>
          <w:sz w:val="24"/>
          <w:highlight w:val="none"/>
          <w:u w:val="single"/>
        </w:rPr>
        <w:t>。</w:t>
      </w:r>
      <w:r>
        <w:rPr>
          <w:rFonts w:hint="eastAsia" w:ascii="宋体" w:hAnsi="宋体" w:eastAsia="宋体" w:cs="宋体"/>
          <w:color w:val="auto"/>
          <w:sz w:val="24"/>
          <w:highlight w:val="none"/>
          <w:u w:val="single"/>
        </w:rPr>
        <w:t>（</w:t>
      </w:r>
      <w:r>
        <w:rPr>
          <w:rFonts w:hint="eastAsia"/>
          <w:color w:val="auto"/>
          <w:sz w:val="24"/>
          <w:highlight w:val="none"/>
          <w:u w:val="single"/>
          <w:lang w:val="en-US" w:eastAsia="zh-CN"/>
        </w:rPr>
        <w:t>综合单价</w:t>
      </w:r>
      <w:r>
        <w:rPr>
          <w:rFonts w:hint="eastAsia" w:ascii="宋体" w:hAnsi="宋体" w:eastAsia="宋体" w:cs="宋体"/>
          <w:color w:val="auto"/>
          <w:sz w:val="24"/>
          <w:highlight w:val="none"/>
          <w:u w:val="single"/>
        </w:rPr>
        <w:t>包括分部分项和单价措施</w:t>
      </w:r>
      <w:r>
        <w:rPr>
          <w:rFonts w:hint="eastAsia" w:ascii="宋体" w:hAnsi="宋体" w:eastAsia="宋体" w:cs="宋体"/>
          <w:color w:val="auto"/>
          <w:sz w:val="24"/>
          <w:highlight w:val="none"/>
          <w:u w:val="single"/>
          <w:lang w:eastAsia="zh-CN"/>
        </w:rPr>
        <w:t>）</w:t>
      </w:r>
    </w:p>
    <w:p>
      <w:pPr>
        <w:pStyle w:val="12"/>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ascii="Times New Roman"/>
          <w:color w:val="auto"/>
          <w:sz w:val="24"/>
          <w:highlight w:val="none"/>
          <w:lang w:val="en-US" w:eastAsia="zh-CN"/>
        </w:rPr>
        <w:t>2025年6月26日前进场开工起45日历天内竣工验收并合格</w:t>
      </w:r>
      <w:r>
        <w:rPr>
          <w:rFonts w:hint="eastAsia" w:hAnsi="宋体" w:cs="宋体"/>
          <w:color w:val="auto"/>
          <w:sz w:val="24"/>
          <w:highlight w:val="none"/>
          <w:lang w:val="en-US"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62" w:name="_Toc29776"/>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6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ind w:firstLine="480" w:firstLineChars="200"/>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5</w:t>
      </w:r>
      <w:r>
        <w:rPr>
          <w:rFonts w:hint="eastAsia" w:ascii="宋体" w:hAnsi="宋体" w:cs="宋体"/>
          <w:color w:val="auto"/>
          <w:sz w:val="24"/>
          <w:szCs w:val="24"/>
          <w:highlight w:val="none"/>
          <w:shd w:val="clear" w:color="auto" w:fill="FFFFFF"/>
          <w:lang w:val="en-US" w:eastAsia="zh-CN" w:bidi="ar"/>
        </w:rPr>
        <w:t>.提供询比文件第三章第二条人员要求的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w:t>
      </w:r>
      <w:r>
        <w:rPr>
          <w:rFonts w:hint="eastAsia" w:ascii="宋体" w:hAnsi="宋体" w:cs="宋体"/>
          <w:color w:val="auto"/>
          <w:sz w:val="24"/>
          <w:szCs w:val="24"/>
          <w:highlight w:val="none"/>
          <w:shd w:val="clear" w:color="auto" w:fill="FFFFFF"/>
          <w:lang w:val="en-US" w:eastAsia="zh-CN" w:bidi="ar"/>
        </w:rPr>
        <w:t>（</w:t>
      </w:r>
      <w:r>
        <w:rPr>
          <w:rFonts w:hint="eastAsia" w:ascii="宋体" w:hAnsi="宋体" w:cs="宋体"/>
          <w:b/>
          <w:bCs/>
          <w:color w:val="auto"/>
          <w:sz w:val="24"/>
          <w:szCs w:val="24"/>
          <w:highlight w:val="none"/>
          <w:shd w:val="clear" w:color="auto" w:fill="FFFFFF"/>
          <w:lang w:val="en-US" w:eastAsia="zh-CN" w:bidi="ar"/>
        </w:rPr>
        <w:t>注：提供社保证明的验证码等资料必须清晰可见，由于供应商提供资料模糊不清导致采购人无法评审的，将作废标处理。</w:t>
      </w:r>
      <w:r>
        <w:rPr>
          <w:rFonts w:hint="eastAsia" w:ascii="宋体" w:hAnsi="宋体" w:cs="宋体"/>
          <w:color w:val="auto"/>
          <w:sz w:val="24"/>
          <w:szCs w:val="24"/>
          <w:highlight w:val="none"/>
          <w:shd w:val="clear" w:color="auto" w:fill="FFFFFF"/>
          <w:lang w:val="en-US" w:eastAsia="zh-CN" w:bidi="ar"/>
        </w:rPr>
        <w:t>）</w:t>
      </w:r>
    </w:p>
    <w:p>
      <w:pPr>
        <w:pStyle w:val="2"/>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highlight w:val="none"/>
          <w:lang w:val="en-US" w:eastAsia="zh-CN"/>
        </w:rPr>
        <w:t>如果是省外企业，应提供有效的《四川省省外建筑企业入川承揽业务验证登记证》或带二维码的《四川省省外施工、监理入川承揽业务信息录入证》复议件（加盖公章）。</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3" w:name="_Toc16391"/>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63"/>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b/>
          <w:color w:val="auto"/>
          <w:sz w:val="32"/>
          <w:szCs w:val="32"/>
          <w:highlight w:val="none"/>
        </w:rPr>
      </w:pPr>
      <w:bookmarkStart w:id="64" w:name="_Toc7817"/>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64"/>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5" w:name="_Toc2589"/>
      <w:bookmarkStart w:id="66" w:name="_Toc20032"/>
      <w:bookmarkStart w:id="67" w:name="_Toc16489"/>
      <w:bookmarkStart w:id="68" w:name="_Toc9917"/>
      <w:bookmarkStart w:id="69" w:name="_Toc2900"/>
      <w:bookmarkStart w:id="70" w:name="_Toc30219"/>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65"/>
      <w:bookmarkEnd w:id="66"/>
      <w:bookmarkEnd w:id="67"/>
      <w:bookmarkEnd w:id="68"/>
      <w:bookmarkEnd w:id="69"/>
      <w:bookmarkEnd w:id="7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1" w:name="_Toc27860"/>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71"/>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72" w:name="_Toc6558"/>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7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46" w:type="dxa"/>
            <w:vMerge w:val="continue"/>
            <w:noWrap w:val="0"/>
            <w:vAlign w:val="center"/>
          </w:tcPr>
          <w:p>
            <w:pPr>
              <w:spacing w:line="360" w:lineRule="auto"/>
              <w:jc w:val="center"/>
              <w:rPr>
                <w:color w:val="auto"/>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73" w:name="_Toc22127"/>
      <w:bookmarkStart w:id="74" w:name="_Toc1183"/>
      <w:bookmarkStart w:id="75" w:name="_Toc3650"/>
      <w:bookmarkStart w:id="76" w:name="_Toc15041"/>
      <w:bookmarkStart w:id="77" w:name="_Toc9177117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w:t>
      </w:r>
      <w:bookmarkEnd w:id="73"/>
      <w:r>
        <w:rPr>
          <w:rFonts w:hint="eastAsia" w:ascii="黑体" w:hAnsi="黑体" w:eastAsia="黑体" w:cs="Arial"/>
          <w:bCs/>
          <w:color w:val="auto"/>
          <w:sz w:val="32"/>
          <w:szCs w:val="32"/>
          <w:highlight w:val="none"/>
        </w:rPr>
        <w:t>类似业绩表</w:t>
      </w:r>
      <w:bookmarkEnd w:id="74"/>
      <w:bookmarkEnd w:id="75"/>
      <w:bookmarkEnd w:id="76"/>
      <w:bookmarkEnd w:id="77"/>
    </w:p>
    <w:tbl>
      <w:tblPr>
        <w:tblStyle w:val="21"/>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7"/>
        <w:bidi w:val="0"/>
        <w:jc w:val="center"/>
        <w:rPr>
          <w:rFonts w:hint="default"/>
          <w:color w:val="auto"/>
          <w:lang w:val="en-US" w:eastAsia="zh-CN"/>
        </w:rPr>
      </w:pPr>
      <w:bookmarkStart w:id="78" w:name="_Toc3762"/>
      <w:r>
        <w:rPr>
          <w:rFonts w:hint="eastAsia"/>
          <w:color w:val="auto"/>
          <w:lang w:val="en-US" w:eastAsia="zh-CN"/>
        </w:rPr>
        <w:t>九、商务、技术、服务应答表</w:t>
      </w:r>
      <w:bookmarkEnd w:id="78"/>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79" w:name="OLE_LINK5"/>
            <w:r>
              <w:rPr>
                <w:rFonts w:hint="eastAsia" w:ascii="宋体" w:hAnsi="宋体"/>
                <w:color w:val="auto"/>
                <w:sz w:val="24"/>
                <w:highlight w:val="none"/>
                <w:lang w:val="en-US" w:eastAsia="zh-CN"/>
              </w:rPr>
              <w:t>询比文件第三章技术要求</w:t>
            </w:r>
            <w:bookmarkEnd w:id="79"/>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10" w:type="default"/>
          <w:footerReference r:id="rId11" w:type="default"/>
          <w:type w:val="continuous"/>
          <w:pgSz w:w="11906" w:h="16840"/>
          <w:pgMar w:top="1440" w:right="1800" w:bottom="1440" w:left="1800" w:header="851" w:footer="992" w:gutter="0"/>
          <w:pgNumType w:fmt="decimal"/>
          <w:cols w:space="720" w:num="1"/>
          <w:docGrid w:type="lines" w:linePitch="312" w:charSpace="0"/>
        </w:sectPr>
      </w:pPr>
    </w:p>
    <w:p>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80" w:name="_Toc17857"/>
      <w:bookmarkStart w:id="81" w:name="_Toc7325"/>
      <w:bookmarkStart w:id="82" w:name="_Toc26306"/>
      <w:bookmarkStart w:id="83" w:name="_Toc15859"/>
      <w:bookmarkStart w:id="84" w:name="_Toc8826"/>
      <w:bookmarkStart w:id="85" w:name="_Toc21058"/>
      <w:bookmarkStart w:id="86" w:name="_Toc17100"/>
      <w:bookmarkStart w:id="87" w:name="_Toc23376"/>
      <w:bookmarkStart w:id="88" w:name="_Toc7243"/>
      <w:bookmarkStart w:id="89" w:name="_Toc14957"/>
      <w:bookmarkStart w:id="90" w:name="_Toc11508"/>
      <w:bookmarkStart w:id="91" w:name="_Toc3945"/>
      <w:bookmarkStart w:id="92" w:name="_Toc978"/>
      <w:bookmarkStart w:id="93" w:name="_Toc11600"/>
      <w:bookmarkStart w:id="94" w:name="_Toc11945"/>
      <w:bookmarkStart w:id="95" w:name="_Toc6976"/>
      <w:bookmarkStart w:id="96" w:name="_Toc29094"/>
      <w:r>
        <w:rPr>
          <w:rFonts w:hint="eastAsia" w:ascii="黑体" w:hAnsi="黑体" w:eastAsia="黑体" w:cs="Arial"/>
          <w:bCs/>
          <w:color w:val="auto"/>
          <w:sz w:val="32"/>
          <w:szCs w:val="32"/>
          <w:highlight w:val="none"/>
          <w:lang w:val="en-US" w:eastAsia="zh-CN"/>
        </w:rPr>
        <w:t>十、服务方案</w:t>
      </w:r>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黑体" w:hAnsi="黑体" w:eastAsia="黑体" w:cs="Arial"/>
          <w:bCs/>
          <w:color w:val="auto"/>
          <w:sz w:val="32"/>
          <w:szCs w:val="32"/>
          <w:highlight w:val="none"/>
          <w:lang w:val="en-US" w:eastAsia="zh-CN"/>
        </w:rPr>
        <w:t>（格式自</w:t>
      </w:r>
      <w:bookmarkEnd w:id="93"/>
      <w:bookmarkEnd w:id="94"/>
      <w:bookmarkEnd w:id="95"/>
      <w:r>
        <w:rPr>
          <w:rFonts w:hint="eastAsia" w:ascii="黑体" w:hAnsi="黑体" w:eastAsia="黑体" w:cs="Arial"/>
          <w:bCs/>
          <w:color w:val="auto"/>
          <w:sz w:val="32"/>
          <w:szCs w:val="32"/>
          <w:highlight w:val="none"/>
          <w:lang w:val="en-US" w:eastAsia="zh-CN"/>
        </w:rPr>
        <w:t>拟）</w:t>
      </w:r>
      <w:bookmarkEnd w:id="96"/>
    </w:p>
    <w:p>
      <w:pPr>
        <w:pStyle w:val="2"/>
        <w:widowControl w:val="0"/>
        <w:numPr>
          <w:ilvl w:val="0"/>
          <w:numId w:val="0"/>
        </w:numPr>
        <w:spacing w:after="120"/>
        <w:jc w:val="both"/>
        <w:rPr>
          <w:rFonts w:hint="default"/>
          <w:color w:val="auto"/>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line="360" w:lineRule="auto"/>
        <w:ind w:left="420" w:firstLine="480" w:firstLineChars="200"/>
        <w:textAlignment w:val="auto"/>
        <w:rPr>
          <w:rFonts w:hint="eastAsia" w:ascii="宋体" w:hAnsi="宋体" w:eastAsia="宋体" w:cs="宋体"/>
          <w:color w:val="auto"/>
          <w:sz w:val="24"/>
          <w:szCs w:val="24"/>
          <w:highlight w:val="none"/>
          <w:lang w:val="en-US" w:eastAsia="zh-CN"/>
        </w:rPr>
        <w:sectPr>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包括但不限于人员组织、管理，采购人未能及时支付工程款时应急方案，社会舆情控制等方面。</w:t>
      </w:r>
    </w:p>
    <w:p>
      <w:pPr>
        <w:pStyle w:val="6"/>
        <w:bidi w:val="0"/>
        <w:jc w:val="center"/>
        <w:rPr>
          <w:rStyle w:val="29"/>
          <w:rFonts w:hint="eastAsia"/>
          <w:b/>
          <w:bCs/>
          <w:color w:val="auto"/>
          <w:highlight w:val="none"/>
        </w:rPr>
      </w:pPr>
      <w:bookmarkStart w:id="97" w:name="_Toc24049"/>
      <w:bookmarkStart w:id="98" w:name="_Toc797"/>
      <w:r>
        <w:rPr>
          <w:rFonts w:hint="eastAsia"/>
          <w:color w:val="auto"/>
        </w:rPr>
        <w:t>第五章 保证金退还申请书</w:t>
      </w:r>
      <w:bookmarkEnd w:id="97"/>
      <w:bookmarkEnd w:id="98"/>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9"/>
          <w:color w:val="auto"/>
          <w:highlight w:val="none"/>
        </w:rPr>
      </w:pPr>
      <w:r>
        <w:rPr>
          <w:rFonts w:hint="eastAsia"/>
          <w:color w:val="auto"/>
          <w:highlight w:val="none"/>
        </w:rPr>
        <w:br w:type="page"/>
      </w:r>
      <w:bookmarkStart w:id="99" w:name="_Toc20369"/>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0" w:name="_Toc13659"/>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10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color w:val="auto"/>
          <w:highlight w:val="none"/>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按询比文件规定进行序号抽取。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101" w:name="OLE_LINK9"/>
      <w:r>
        <w:rPr>
          <w:rFonts w:hint="eastAsia" w:ascii="宋体" w:hAnsi="宋体"/>
          <w:bCs/>
          <w:color w:val="auto"/>
          <w:sz w:val="24"/>
          <w:highlight w:val="none"/>
        </w:rPr>
        <w:t>资格性和符合性</w:t>
      </w:r>
      <w:bookmarkEnd w:id="101"/>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2" w:name="_Toc31084"/>
      <w:r>
        <w:rPr>
          <w:rFonts w:hint="eastAsia" w:ascii="宋体" w:hAnsi="宋体"/>
          <w:b/>
          <w:bCs/>
          <w:color w:val="auto"/>
          <w:sz w:val="24"/>
          <w:highlight w:val="none"/>
        </w:rPr>
        <w:t>二、评审程序、评审方法、评审标准</w:t>
      </w:r>
      <w:bookmarkEnd w:id="102"/>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4．成交候选供应商</w:t>
      </w:r>
      <w:r>
        <w:rPr>
          <w:rFonts w:hint="eastAsia" w:ascii="宋体" w:hAnsi="宋体"/>
          <w:bCs/>
          <w:color w:val="auto"/>
          <w:sz w:val="24"/>
          <w:highlight w:val="none"/>
          <w:lang w:val="en-US" w:eastAsia="zh-CN"/>
        </w:rPr>
        <w:t>确认方法</w:t>
      </w:r>
      <w:r>
        <w:rPr>
          <w:rFonts w:hint="eastAsia" w:ascii="宋体" w:hAnsi="宋体"/>
          <w:bCs/>
          <w:color w:val="auto"/>
          <w:sz w:val="24"/>
          <w:highlight w:val="none"/>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3"/>
        <w:jc w:val="both"/>
        <w:textAlignment w:val="auto"/>
        <w:rPr>
          <w:b/>
          <w:bCs/>
          <w:color w:val="auto"/>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在有关监督人员的现场监督下，将事先标明数字1至X（X代表抽取申请人家数）序号的X个乒乓球一并放入密封箱内，并随意摇晃。</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按照抽取参会签到表的顺序在密封箱内随机抽取一个乒乓球，按照乒乓球上的序号确定抽取人在第二轮参加抽取的顺序（比如：抽中的乒乓球上序号为1，则该抽取申请人在第二轮抽取中第一个抽取，以此类推），第一轮抽取完成后予以</w:t>
      </w:r>
      <w:r>
        <w:rPr>
          <w:rFonts w:hint="eastAsia" w:ascii="宋体" w:hAnsi="宋体" w:eastAsia="宋体" w:cs="宋体"/>
          <w:b/>
          <w:bCs/>
          <w:color w:val="auto"/>
          <w:sz w:val="24"/>
          <w:szCs w:val="24"/>
          <w:highlight w:val="none"/>
          <w:lang w:val="en-US" w:eastAsia="zh-CN"/>
        </w:rPr>
        <w:t>下轮抽取顺序</w:t>
      </w:r>
      <w:r>
        <w:rPr>
          <w:rFonts w:hint="eastAsia" w:ascii="宋体" w:hAnsi="宋体" w:eastAsia="宋体" w:cs="宋体"/>
          <w:b/>
          <w:bCs/>
          <w:color w:val="auto"/>
          <w:sz w:val="24"/>
          <w:szCs w:val="24"/>
          <w:highlight w:val="none"/>
        </w:rPr>
        <w:t>登记。</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63"/>
        <w:jc w:val="both"/>
        <w:textAlignment w:val="auto"/>
        <w:rPr>
          <w:b/>
          <w:bCs/>
          <w:color w:val="auto"/>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在有关监督人员的现场监督下，将事先填写好序号的X个乒乓球一并放入密封箱内，并随意摇晃。</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按照第一轮抽取确定的顺序进行抽取，直至抽到填写序号1的乒乓球（即为中选人）为止，抽中1的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为暂定中选单位。</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b/>
          <w:bCs/>
          <w:color w:val="auto"/>
          <w:sz w:val="24"/>
          <w:highlight w:val="none"/>
        </w:rPr>
      </w:pPr>
      <w:r>
        <w:rPr>
          <w:rFonts w:hint="eastAsia" w:ascii="宋体" w:hAnsi="宋体" w:eastAsia="宋体" w:cs="宋体"/>
          <w:b/>
          <w:bCs/>
          <w:color w:val="auto"/>
          <w:sz w:val="24"/>
          <w:szCs w:val="24"/>
          <w:highlight w:val="none"/>
        </w:rPr>
        <w:t>3.抽取结束后</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将当场公布抽取结果，并由监督人员和参加抽取</w:t>
      </w:r>
      <w:r>
        <w:rPr>
          <w:rFonts w:hint="eastAsia" w:ascii="宋体" w:hAnsi="宋体" w:eastAsia="宋体" w:cs="宋体"/>
          <w:b/>
          <w:bCs/>
          <w:color w:val="auto"/>
          <w:sz w:val="24"/>
          <w:szCs w:val="24"/>
          <w:highlight w:val="none"/>
          <w:lang w:val="en-US" w:eastAsia="zh-CN"/>
        </w:rPr>
        <w:t>供应商的</w:t>
      </w:r>
      <w:r>
        <w:rPr>
          <w:rFonts w:hint="eastAsia" w:ascii="宋体" w:hAnsi="宋体" w:eastAsia="宋体" w:cs="宋体"/>
          <w:b/>
          <w:bCs/>
          <w:color w:val="auto"/>
          <w:sz w:val="24"/>
          <w:szCs w:val="24"/>
          <w:highlight w:val="none"/>
        </w:rPr>
        <w:t>授权代表人</w:t>
      </w:r>
      <w:r>
        <w:rPr>
          <w:rFonts w:hint="eastAsia" w:ascii="宋体" w:hAnsi="宋体" w:eastAsia="宋体" w:cs="宋体"/>
          <w:b/>
          <w:bCs/>
          <w:color w:val="auto"/>
          <w:sz w:val="24"/>
          <w:szCs w:val="24"/>
          <w:highlight w:val="none"/>
          <w:lang w:val="en-US" w:eastAsia="zh-CN"/>
        </w:rPr>
        <w:t>或法定代表人</w:t>
      </w:r>
      <w:r>
        <w:rPr>
          <w:rFonts w:hint="eastAsia" w:ascii="宋体" w:hAnsi="宋体" w:eastAsia="宋体" w:cs="宋体"/>
          <w:b/>
          <w:bCs/>
          <w:color w:val="auto"/>
          <w:sz w:val="24"/>
          <w:szCs w:val="24"/>
          <w:highlight w:val="none"/>
        </w:rPr>
        <w:t>在抽取结果上签字确认。按照第二轮抽中的乒乓球序号顺序，</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对序号为1的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进行资格</w:t>
      </w:r>
      <w:r>
        <w:rPr>
          <w:rFonts w:hint="eastAsia" w:ascii="宋体" w:hAnsi="宋体" w:eastAsia="宋体" w:cs="宋体"/>
          <w:b/>
          <w:bCs/>
          <w:color w:val="auto"/>
          <w:sz w:val="24"/>
          <w:szCs w:val="24"/>
          <w:highlight w:val="none"/>
          <w:lang w:val="en-US" w:eastAsia="zh-CN"/>
        </w:rPr>
        <w:t>性、符合性</w:t>
      </w:r>
      <w:r>
        <w:rPr>
          <w:rFonts w:hint="eastAsia" w:ascii="宋体" w:hAnsi="宋体" w:eastAsia="宋体" w:cs="宋体"/>
          <w:b/>
          <w:bCs/>
          <w:color w:val="auto"/>
          <w:sz w:val="24"/>
          <w:szCs w:val="24"/>
          <w:highlight w:val="none"/>
        </w:rPr>
        <w:t>后审，审查合格后作为中选人；若序号为1的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不合格将审查序号为2的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，序号为2的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合格后作为中选人；若序号为2的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不合格，将审查序号为3的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，序号为3的</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合格后作为中选人，以此类推。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3" w:name="_Toc7321"/>
      <w:r>
        <w:rPr>
          <w:rFonts w:hint="eastAsia" w:ascii="宋体" w:hAnsi="宋体"/>
          <w:b/>
          <w:bCs/>
          <w:color w:val="auto"/>
          <w:sz w:val="24"/>
          <w:highlight w:val="none"/>
        </w:rPr>
        <w:t>三、评审纪律</w:t>
      </w:r>
      <w:bookmarkEnd w:id="10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8"/>
      <w:bookmarkEnd w:id="39"/>
      <w:bookmarkEnd w:id="40"/>
      <w:bookmarkStart w:id="104" w:name="_Hlt101846155"/>
      <w:bookmarkEnd w:id="104"/>
      <w:bookmarkStart w:id="105" w:name="_Toc217446059"/>
      <w:bookmarkStart w:id="106" w:name="_Toc217446099"/>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autoSpaceDE w:val="0"/>
        <w:autoSpaceDN w:val="0"/>
        <w:adjustRightInd w:val="0"/>
        <w:spacing w:line="360" w:lineRule="auto"/>
        <w:ind w:firstLine="2394" w:firstLineChars="665"/>
        <w:rPr>
          <w:rFonts w:cs="Calibri" w:asciiTheme="majorEastAsia" w:hAnsiTheme="majorEastAsia" w:eastAsiaTheme="majorEastAsia"/>
          <w:color w:val="auto"/>
          <w:sz w:val="28"/>
          <w:szCs w:val="28"/>
          <w:highlight w:val="none"/>
        </w:rPr>
      </w:pPr>
      <w:r>
        <w:rPr>
          <w:rFonts w:hint="eastAsia" w:ascii="黑体" w:hAnsi="黑体" w:eastAsia="黑体"/>
          <w:color w:val="auto"/>
          <w:sz w:val="36"/>
          <w:highlight w:val="none"/>
        </w:rPr>
        <w:t>第七章 采购合同（草案）</w:t>
      </w:r>
      <w:bookmarkEnd w:id="105"/>
      <w:bookmarkEnd w:id="106"/>
    </w:p>
    <w:bookmarkEnd w:id="0"/>
    <w:p>
      <w:pPr>
        <w:keepNext w:val="0"/>
        <w:keepLines w:val="0"/>
        <w:pageBreakBefore w:val="0"/>
        <w:kinsoku/>
        <w:wordWrap/>
        <w:overflowPunct/>
        <w:topLinePunct w:val="0"/>
        <w:bidi w:val="0"/>
        <w:snapToGrid/>
        <w:spacing w:line="360" w:lineRule="auto"/>
        <w:jc w:val="center"/>
        <w:textAlignment w:val="auto"/>
        <w:rPr>
          <w:rFonts w:hint="eastAsia" w:ascii="宋体" w:hAnsi="宋体" w:cs="宋体"/>
          <w:bCs/>
          <w:color w:val="auto"/>
          <w:sz w:val="36"/>
          <w:szCs w:val="36"/>
          <w:highlight w:val="none"/>
          <w:u w:val="none"/>
          <w:lang w:eastAsia="zh-CN"/>
        </w:rPr>
      </w:pPr>
      <w:r>
        <w:rPr>
          <w:rFonts w:hint="eastAsia" w:ascii="宋体" w:hAnsi="宋体" w:cs="宋体"/>
          <w:bCs/>
          <w:color w:val="auto"/>
          <w:sz w:val="36"/>
          <w:szCs w:val="36"/>
          <w:highlight w:val="none"/>
          <w:u w:val="none"/>
          <w:lang w:eastAsia="zh-CN"/>
        </w:rPr>
        <w:t>泸州港龙江港区大脚石作业区一期工程</w:t>
      </w:r>
    </w:p>
    <w:p>
      <w:pPr>
        <w:keepNext w:val="0"/>
        <w:keepLines w:val="0"/>
        <w:pageBreakBefore w:val="0"/>
        <w:kinsoku/>
        <w:wordWrap/>
        <w:overflowPunct/>
        <w:topLinePunct w:val="0"/>
        <w:bidi w:val="0"/>
        <w:snapToGrid/>
        <w:spacing w:line="360" w:lineRule="auto"/>
        <w:jc w:val="center"/>
        <w:textAlignment w:val="auto"/>
        <w:rPr>
          <w:rFonts w:hint="eastAsia" w:ascii="宋体" w:hAnsi="宋体" w:cs="宋体"/>
          <w:bCs/>
          <w:color w:val="auto"/>
          <w:sz w:val="36"/>
          <w:szCs w:val="36"/>
          <w:highlight w:val="none"/>
          <w:u w:val="none"/>
          <w:lang w:eastAsia="zh-CN"/>
        </w:rPr>
      </w:pPr>
      <w:r>
        <w:rPr>
          <w:rFonts w:hint="eastAsia" w:ascii="宋体" w:hAnsi="宋体" w:cs="宋体"/>
          <w:bCs/>
          <w:color w:val="auto"/>
          <w:sz w:val="36"/>
          <w:szCs w:val="36"/>
          <w:highlight w:val="none"/>
          <w:u w:val="none"/>
          <w:lang w:eastAsia="zh-CN"/>
        </w:rPr>
        <w:t>建设占用耕地耕作层土壤剥离再利用实施工程</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2"/>
          <w:szCs w:val="32"/>
          <w:highlight w:val="none"/>
          <w:u w:val="none"/>
        </w:rPr>
      </w:pPr>
      <w:r>
        <w:rPr>
          <w:rFonts w:hint="eastAsia" w:ascii="宋体" w:hAnsi="宋体" w:cs="宋体"/>
          <w:bCs/>
          <w:color w:val="auto"/>
          <w:sz w:val="36"/>
          <w:szCs w:val="36"/>
          <w:highlight w:val="none"/>
          <w:u w:val="none"/>
          <w:lang w:eastAsia="zh-CN"/>
        </w:rPr>
        <w:t>劳务等分包采购</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 </w:t>
      </w:r>
    </w:p>
    <w:p>
      <w:pPr>
        <w:pStyle w:val="2"/>
        <w:rPr>
          <w:rFonts w:hint="eastAsia" w:ascii="宋体" w:hAnsi="宋体" w:cs="宋体"/>
          <w:bCs/>
          <w:color w:val="auto"/>
          <w:sz w:val="28"/>
          <w:szCs w:val="28"/>
          <w:highlight w:val="none"/>
          <w:u w:val="single"/>
          <w:lang w:val="en-US" w:eastAsia="zh-CN"/>
        </w:rPr>
      </w:pPr>
    </w:p>
    <w:p>
      <w:pPr>
        <w:rPr>
          <w:rFonts w:hint="eastAsia"/>
          <w:color w:val="auto"/>
          <w:highlight w:val="none"/>
          <w:lang w:eastAsia="zh-CN"/>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p>
      <w:pPr>
        <w:bidi w:val="0"/>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泸州港龙江港区大脚石作业区一期工程</w:t>
      </w:r>
    </w:p>
    <w:p>
      <w:pPr>
        <w:bidi w:val="0"/>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建设占用耕地耕作层土壤剥离再利用实施工程</w:t>
      </w:r>
    </w:p>
    <w:p>
      <w:pPr>
        <w:bidi w:val="0"/>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劳务等分包采购</w:t>
      </w:r>
      <w:r>
        <w:rPr>
          <w:rFonts w:hint="eastAsia" w:ascii="宋体" w:hAnsi="宋体" w:eastAsia="宋体" w:cs="宋体"/>
          <w:b/>
          <w:bCs/>
          <w:color w:val="auto"/>
          <w:sz w:val="36"/>
          <w:szCs w:val="36"/>
          <w:highlight w:val="none"/>
        </w:rPr>
        <w:t>合同书</w:t>
      </w:r>
    </w:p>
    <w:p>
      <w:pPr>
        <w:rPr>
          <w:rFonts w:hint="eastAsia" w:ascii="宋体" w:hAnsi="宋体" w:eastAsia="宋体" w:cs="宋体"/>
          <w:b/>
          <w:bCs/>
          <w:color w:val="auto"/>
          <w:sz w:val="30"/>
          <w:szCs w:val="30"/>
          <w:highlight w:val="none"/>
        </w:rPr>
      </w:pPr>
    </w:p>
    <w:p>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u w:val="single"/>
          <w:lang w:val="en-US" w:eastAsia="zh-CN"/>
        </w:rPr>
        <w:t xml:space="preserve">泸州兴阳建川实业有限公司 </w:t>
      </w:r>
    </w:p>
    <w:p>
      <w:pPr>
        <w:spacing w:after="156" w:afterLines="50"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分包人：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文件》《成交通知书》是本合同文件的组成部分，应能相互解释、互为说明。除专用条款另有约定外，组成本合同的文件及优先解释顺序如下：</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107"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107"/>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文件及其附件；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及其附件；</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w:t>
      </w:r>
      <w:r>
        <w:rPr>
          <w:rFonts w:hint="eastAsia" w:ascii="宋体" w:hAnsi="宋体" w:cs="宋体"/>
          <w:color w:val="auto"/>
          <w:sz w:val="24"/>
          <w:highlight w:val="none"/>
          <w:lang w:val="en-US" w:eastAsia="zh-CN"/>
        </w:rPr>
        <w:t>泸州港龙江港区大脚石作业区一期工程建设占用耕地耕作层土壤剥离再利用实施工程劳务等分包</w:t>
      </w:r>
    </w:p>
    <w:p>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工程地点：泸州市江阳区</w:t>
      </w:r>
    </w:p>
    <w:p>
      <w:pPr>
        <w:pStyle w:val="18"/>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eastAsia="宋体" w:cs="宋体"/>
          <w:color w:val="auto"/>
          <w:kern w:val="2"/>
          <w:sz w:val="24"/>
          <w:szCs w:val="24"/>
          <w:highlight w:val="none"/>
          <w:lang w:val="en-US" w:eastAsia="zh-CN" w:bidi="ar-SA"/>
        </w:rPr>
        <w:t>对耕地质量3等级的耕地进行耕作层剥离利用。耕作层土壤剥离面积1.0592公顷，其中剥离水田面积0.2501公顷，剥离旱地面积0.8091公顷，剥离耕作层土壤约2773立方米。</w:t>
      </w:r>
      <w:r>
        <w:rPr>
          <w:rFonts w:hint="eastAsia" w:ascii="宋体" w:hAnsi="宋体" w:eastAsia="宋体" w:cs="宋体"/>
          <w:color w:val="auto"/>
          <w:sz w:val="24"/>
          <w:highlight w:val="none"/>
          <w:lang w:val="en-US" w:eastAsia="zh-CN"/>
        </w:rPr>
        <w:t>以及图纸</w:t>
      </w:r>
      <w:r>
        <w:rPr>
          <w:rFonts w:hint="eastAsia" w:cs="宋体"/>
          <w:color w:val="auto"/>
          <w:sz w:val="24"/>
          <w:highlight w:val="none"/>
          <w:lang w:val="en-US" w:eastAsia="zh-CN"/>
        </w:rPr>
        <w:t>、方案</w:t>
      </w:r>
      <w:r>
        <w:rPr>
          <w:rFonts w:hint="eastAsia" w:ascii="宋体" w:hAnsi="宋体" w:eastAsia="宋体" w:cs="宋体"/>
          <w:color w:val="auto"/>
          <w:sz w:val="24"/>
          <w:highlight w:val="none"/>
          <w:lang w:val="en-US" w:eastAsia="zh-CN"/>
        </w:rPr>
        <w:t>范围内或工程量清单范围内的其他内容</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包含耕作层土壤管护22个月的管护期（种草和管护）和当绿化区域满足覆土条件后及时覆土</w:t>
      </w:r>
      <w:r>
        <w:rPr>
          <w:rFonts w:hint="eastAsia" w:ascii="宋体" w:hAnsi="宋体" w:eastAsia="宋体" w:cs="宋体"/>
          <w:color w:val="auto"/>
          <w:sz w:val="24"/>
          <w:highlight w:val="none"/>
          <w:lang w:eastAsia="zh-CN"/>
        </w:rPr>
        <w:t>。</w:t>
      </w:r>
    </w:p>
    <w:p>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ascii="宋体" w:hAnsi="宋体" w:cs="宋体"/>
          <w:color w:val="auto"/>
          <w:sz w:val="24"/>
          <w:szCs w:val="24"/>
          <w:highlight w:val="none"/>
          <w:lang w:val="en-US" w:eastAsia="zh-CN"/>
        </w:rPr>
        <w:t>25万元</w:t>
      </w:r>
      <w:r>
        <w:rPr>
          <w:rFonts w:hint="eastAsia" w:ascii="宋体" w:hAnsi="宋体" w:eastAsia="宋体" w:cs="宋体"/>
          <w:color w:val="auto"/>
          <w:sz w:val="24"/>
          <w:szCs w:val="24"/>
          <w:highlight w:val="none"/>
        </w:rPr>
        <w:t>（大写：</w:t>
      </w:r>
      <w:r>
        <w:rPr>
          <w:rFonts w:hint="eastAsia" w:cs="宋体"/>
          <w:color w:val="auto"/>
          <w:sz w:val="24"/>
          <w:szCs w:val="24"/>
          <w:highlight w:val="none"/>
          <w:u w:val="single"/>
          <w:lang w:val="en-US" w:eastAsia="zh-CN"/>
        </w:rPr>
        <w:t xml:space="preserve">贰拾伍万元整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，其中安全文明施工费</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元，规费</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元，暂列金</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元，暂估价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元</w:t>
      </w:r>
      <w:r>
        <w:rPr>
          <w:rFonts w:hint="eastAsia" w:cs="宋体"/>
          <w:color w:val="auto"/>
          <w:sz w:val="24"/>
          <w:szCs w:val="24"/>
          <w:highlight w:val="none"/>
          <w:lang w:val="en-US" w:eastAsia="zh-CN"/>
        </w:rPr>
        <w:t>。经业主聘请的第三方造价咨询单位出具的评审报告</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单价</w:t>
      </w:r>
      <w:r>
        <w:rPr>
          <w:rFonts w:hint="eastAsia" w:ascii="宋体" w:hAnsi="宋体" w:cs="宋体"/>
          <w:color w:val="auto"/>
          <w:sz w:val="24"/>
          <w:szCs w:val="24"/>
          <w:highlight w:val="none"/>
          <w:lang w:val="en-US" w:eastAsia="zh-CN"/>
        </w:rPr>
        <w:t>下浮17.5%作</w:t>
      </w:r>
      <w:r>
        <w:rPr>
          <w:rFonts w:hint="eastAsia" w:ascii="宋体" w:hAnsi="宋体" w:eastAsia="宋体" w:cs="宋体"/>
          <w:color w:val="auto"/>
          <w:sz w:val="24"/>
          <w:szCs w:val="24"/>
          <w:highlight w:val="none"/>
          <w:lang w:val="en-US" w:eastAsia="zh-CN"/>
        </w:rPr>
        <w:t>为相应工程劳务作业计价细目下全部作业的综合单价（已包含工人工资、劳保统筹、劳动保护、管理、各项保险、利润、风险等全部费用），该综合单价为固定单价，一次性包干，结算时，双方不因任何因素作调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工程量以劳务等分包人实际完成并经工程承包人确认的符合合同约定质量标准的劳务作业数量进行计算，</w:t>
      </w:r>
      <w:r>
        <w:rPr>
          <w:rFonts w:hint="eastAsia" w:ascii="宋体" w:hAnsi="宋体" w:eastAsia="宋体" w:cs="宋体"/>
          <w:color w:val="auto"/>
          <w:sz w:val="24"/>
          <w:szCs w:val="24"/>
          <w:highlight w:val="none"/>
          <w:lang w:val="en-US" w:eastAsia="zh-CN"/>
        </w:rPr>
        <w:t>安全文明施工费按业主与</w:t>
      </w:r>
      <w:r>
        <w:rPr>
          <w:rFonts w:hint="eastAsia" w:cs="宋体"/>
          <w:color w:val="auto"/>
          <w:sz w:val="24"/>
          <w:szCs w:val="24"/>
          <w:highlight w:val="none"/>
          <w:lang w:val="en-US" w:eastAsia="zh-CN"/>
        </w:rPr>
        <w:t>工程承包人</w:t>
      </w:r>
      <w:r>
        <w:rPr>
          <w:rFonts w:hint="eastAsia" w:ascii="宋体" w:hAnsi="宋体" w:eastAsia="宋体" w:cs="宋体"/>
          <w:color w:val="auto"/>
          <w:sz w:val="24"/>
          <w:szCs w:val="24"/>
          <w:highlight w:val="none"/>
          <w:lang w:val="en-US" w:eastAsia="zh-CN"/>
        </w:rPr>
        <w:t>结算的安全文明施工费的</w:t>
      </w: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附加税按</w:t>
      </w:r>
      <w:r>
        <w:rPr>
          <w:rFonts w:hint="eastAsia" w:ascii="宋体" w:hAnsi="宋体" w:cs="宋体"/>
          <w:color w:val="auto"/>
          <w:kern w:val="0"/>
          <w:sz w:val="24"/>
          <w:szCs w:val="24"/>
          <w:highlight w:val="none"/>
          <w:lang w:val="en-US" w:eastAsia="zh-CN"/>
        </w:rPr>
        <w:t>0.157</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2．计价依据：按照《建设工程工程量清单计价规范》(GB50500-2013)、2020年《四川省建设工程工程量清单计价定额》及相关配套文件作为本工程的计量计价依据。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ascii="宋体" w:hAnsi="宋体" w:cs="宋体"/>
          <w:color w:val="auto"/>
          <w:sz w:val="24"/>
          <w:highlight w:val="none"/>
          <w:lang w:val="en-US" w:eastAsia="zh-CN"/>
        </w:rPr>
        <w:t>以业主聘请的第三方造价咨询单位出具的评审报告清单综合单价下浮17.5%为劳务等分包结算固定综合单价</w:t>
      </w:r>
      <w:r>
        <w:rPr>
          <w:rFonts w:hint="eastAsia" w:ascii="宋体" w:hAnsi="宋体" w:eastAsia="宋体" w:cs="宋体"/>
          <w:color w:val="auto"/>
          <w:sz w:val="24"/>
          <w:highlight w:val="none"/>
        </w:rPr>
        <w:t>，工程量</w:t>
      </w:r>
      <w:r>
        <w:rPr>
          <w:rFonts w:hint="eastAsia" w:ascii="宋体" w:hAnsi="宋体" w:eastAsia="宋体" w:cs="宋体"/>
          <w:color w:val="auto"/>
          <w:sz w:val="24"/>
          <w:szCs w:val="24"/>
          <w:highlight w:val="none"/>
        </w:rPr>
        <w:t>以劳务等分包人实际完成并经工程承包人确认的符合合同约定质量标准的劳务作业数量进行计算</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专业工程暂估价部分：本项目专业工程暂估价全部由劳务等分包人实施（本合同约定的由工程承包人甲供及专业分包部分除外），结算时根据本合同第七条工程变更中约定的计价原则确定专业工程价款，并应以此为依据取代专业工程暂估价，调整合同价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w:t>
      </w:r>
      <w:r>
        <w:rPr>
          <w:rFonts w:hint="eastAsia" w:ascii="宋体" w:hAnsi="宋体" w:cs="宋体"/>
          <w:color w:val="auto"/>
          <w:sz w:val="24"/>
          <w:highlight w:val="none"/>
          <w:lang w:val="en-US" w:eastAsia="zh-CN"/>
        </w:rPr>
        <w:t>0.157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CN"/>
        </w:rPr>
        <w:t>计取</w:t>
      </w:r>
      <w:r>
        <w:rPr>
          <w:rFonts w:hint="eastAsia" w:ascii="宋体" w:hAnsi="宋体" w:cs="宋体"/>
          <w:color w:val="auto"/>
          <w:sz w:val="24"/>
          <w:highlight w:val="none"/>
          <w:lang w:val="en-US" w:eastAsia="zh-CN"/>
        </w:rPr>
        <w:t>与工程承包人结算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sz w:val="24"/>
          <w:highlight w:val="none"/>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主要材料、设备：除</w:t>
      </w:r>
      <w:r>
        <w:rPr>
          <w:rFonts w:hint="eastAsia" w:ascii="宋体" w:hAnsi="宋体" w:cs="宋体"/>
          <w:color w:val="auto"/>
          <w:sz w:val="24"/>
          <w:highlight w:val="none"/>
          <w:lang w:val="en-US" w:eastAsia="zh-CN"/>
        </w:rPr>
        <w:t>约定</w:t>
      </w:r>
      <w:r>
        <w:rPr>
          <w:rFonts w:hint="eastAsia" w:ascii="宋体" w:hAnsi="宋体"/>
          <w:color w:val="auto"/>
          <w:sz w:val="24"/>
          <w:highlight w:val="none"/>
          <w:lang w:val="en-US" w:eastAsia="zh-CN"/>
        </w:rPr>
        <w:t>由工程承包人采购外</w:t>
      </w:r>
      <w:r>
        <w:rPr>
          <w:rFonts w:hint="eastAsia" w:ascii="宋体" w:hAnsi="宋体" w:eastAsia="宋体" w:cs="宋体"/>
          <w:color w:val="auto"/>
          <w:sz w:val="24"/>
          <w:highlight w:val="none"/>
          <w:lang w:val="en-US" w:eastAsia="zh-CN"/>
        </w:rPr>
        <w:t>；其他施工现场所用材料及清单项目所包含的材料</w:t>
      </w:r>
      <w:r>
        <w:rPr>
          <w:rFonts w:hint="eastAsia" w:ascii="宋体" w:hAnsi="宋体" w:cs="宋体"/>
          <w:color w:val="auto"/>
          <w:sz w:val="24"/>
          <w:highlight w:val="none"/>
          <w:lang w:val="en-US" w:eastAsia="zh-CN"/>
        </w:rPr>
        <w:t>委托劳务等分包人采</w:t>
      </w:r>
      <w:r>
        <w:rPr>
          <w:rFonts w:hint="eastAsia" w:ascii="宋体" w:hAnsi="宋体" w:eastAsia="宋体" w:cs="宋体"/>
          <w:color w:val="auto"/>
          <w:sz w:val="24"/>
          <w:highlight w:val="none"/>
          <w:lang w:val="en-US" w:eastAsia="zh-CN"/>
        </w:rPr>
        <w:t>买</w:t>
      </w:r>
      <w:r>
        <w:rPr>
          <w:rFonts w:hint="eastAsia" w:ascii="宋体" w:hAnsi="宋体" w:cs="宋体"/>
          <w:color w:val="auto"/>
          <w:sz w:val="24"/>
          <w:highlight w:val="none"/>
          <w:lang w:val="en-US" w:eastAsia="zh-CN"/>
        </w:rPr>
        <w:t>，并入劳务施工结算。甲供材料或专业分包的管理费、配合费、短搬费、保管费等费用，已综合考虑在清单综合单价中，劳务等分包人不得再次计取。</w:t>
      </w:r>
      <w:r>
        <w:rPr>
          <w:rFonts w:hint="eastAsia" w:ascii="宋体" w:hAnsi="宋体" w:eastAsia="宋体" w:cs="宋体"/>
          <w:color w:val="auto"/>
          <w:sz w:val="24"/>
          <w:highlight w:val="none"/>
          <w:lang w:val="en-US" w:eastAsia="zh-CN"/>
        </w:rPr>
        <w:t>劳务等分包人在施工中所需用的甲供等材料实行限额领用，即材料的消耗量在扣除各种材料的正常节约率后为劳务等分包人的限额用量。施工中</w:t>
      </w:r>
      <w:r>
        <w:rPr>
          <w:rFonts w:hint="eastAsia" w:ascii="宋体" w:hAnsi="宋体" w:cs="宋体"/>
          <w:color w:val="auto"/>
          <w:sz w:val="24"/>
          <w:highlight w:val="none"/>
          <w:lang w:val="en-US" w:eastAsia="zh-CN"/>
        </w:rPr>
        <w:t>劳务等分包人领用的甲供</w:t>
      </w:r>
      <w:r>
        <w:rPr>
          <w:rFonts w:hint="eastAsia" w:ascii="宋体" w:hAnsi="宋体" w:eastAsia="宋体" w:cs="宋体"/>
          <w:color w:val="auto"/>
          <w:sz w:val="24"/>
          <w:highlight w:val="none"/>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采购价（含税）的1.1倍在劳务等分包人工程款中直接扣除</w:t>
      </w:r>
      <w:r>
        <w:rPr>
          <w:rFonts w:hint="eastAsia" w:ascii="宋体" w:hAnsi="宋体" w:cs="宋体"/>
          <w:color w:val="auto"/>
          <w:sz w:val="24"/>
          <w:highlight w:val="none"/>
          <w:lang w:val="en-US" w:eastAsia="zh-CN"/>
        </w:rPr>
        <w:t>（包括由于劳务等分包人原因导致的甲供材料损失）</w:t>
      </w:r>
      <w:r>
        <w:rPr>
          <w:rFonts w:hint="eastAsia" w:ascii="宋体" w:hAnsi="宋体" w:eastAsia="宋体" w:cs="宋体"/>
          <w:color w:val="auto"/>
          <w:sz w:val="24"/>
          <w:highlight w:val="none"/>
          <w:lang w:val="en-US" w:eastAsia="zh-CN"/>
        </w:rPr>
        <w:t>。</w:t>
      </w:r>
    </w:p>
    <w:p>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2025年6月26日前进场开工起45日历天内竣工验收并合格（</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原因导致延期开工或中途停工，</w:t>
      </w:r>
      <w:r>
        <w:rPr>
          <w:rFonts w:hint="eastAsia" w:ascii="宋体" w:hAnsi="宋体" w:cs="宋体"/>
          <w:color w:val="auto"/>
          <w:sz w:val="24"/>
          <w:highlight w:val="none"/>
          <w:lang w:val="en-US" w:eastAsia="zh-CN"/>
        </w:rPr>
        <w:t>工期相应</w:t>
      </w:r>
      <w:r>
        <w:rPr>
          <w:rFonts w:hint="eastAsia" w:ascii="宋体" w:hAnsi="宋体" w:eastAsia="宋体" w:cs="宋体"/>
          <w:color w:val="auto"/>
          <w:sz w:val="24"/>
          <w:highlight w:val="none"/>
        </w:rPr>
        <w:t>顺延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p>
      <w:pPr>
        <w:widowControl/>
        <w:numPr>
          <w:ilvl w:val="0"/>
          <w:numId w:val="2"/>
        </w:numPr>
        <w:spacing w:line="360" w:lineRule="auto"/>
        <w:ind w:firstLine="480" w:firstLineChars="200"/>
        <w:rPr>
          <w:rFonts w:hint="eastAsia"/>
          <w:color w:val="auto"/>
          <w:sz w:val="24"/>
          <w:highlight w:val="none"/>
        </w:rPr>
      </w:pPr>
      <w:r>
        <w:rPr>
          <w:rFonts w:hint="eastAsia"/>
          <w:color w:val="auto"/>
          <w:sz w:val="24"/>
          <w:highlight w:val="none"/>
        </w:rPr>
        <w:t>工程变更</w:t>
      </w:r>
    </w:p>
    <w:p>
      <w:pPr>
        <w:pStyle w:val="2"/>
        <w:numPr>
          <w:ilvl w:val="0"/>
          <w:numId w:val="0"/>
        </w:numPr>
        <w:rPr>
          <w:rFonts w:hint="default" w:eastAsia="宋体"/>
          <w:color w:val="auto"/>
          <w:sz w:val="24"/>
          <w:highlight w:val="none"/>
          <w:lang w:val="en-US" w:eastAsia="zh-CN"/>
        </w:rPr>
      </w:pPr>
      <w:r>
        <w:rPr>
          <w:rFonts w:hint="eastAsia"/>
          <w:color w:val="auto"/>
          <w:sz w:val="24"/>
          <w:highlight w:val="none"/>
          <w:lang w:val="en-US" w:eastAsia="zh-CN"/>
        </w:rPr>
        <w:t xml:space="preserve">    变更原则和程序：按工程承包人与业主签订的变更原则和程序执行。</w:t>
      </w:r>
    </w:p>
    <w:p>
      <w:pPr>
        <w:spacing w:line="360" w:lineRule="auto"/>
        <w:ind w:firstLine="480" w:firstLineChars="200"/>
        <w:rPr>
          <w:rFonts w:ascii="宋体" w:hAnsi="宋体" w:eastAsia="宋体" w:cs="宋体"/>
          <w:color w:val="auto"/>
          <w:kern w:val="0"/>
          <w:sz w:val="24"/>
          <w:highlight w:val="none"/>
        </w:rPr>
      </w:pPr>
      <w:r>
        <w:rPr>
          <w:color w:val="auto"/>
          <w:sz w:val="24"/>
          <w:highlight w:val="none"/>
        </w:rPr>
        <w:t>1.</w:t>
      </w:r>
      <w:r>
        <w:rPr>
          <w:rFonts w:hint="eastAsia"/>
          <w:color w:val="auto"/>
          <w:sz w:val="24"/>
          <w:highlight w:val="none"/>
        </w:rPr>
        <w:t>计量原则：工程量按竣工工程资料、竣工图等有效计量资料计算，工程量增减变更以双方确认签字为准；</w:t>
      </w:r>
    </w:p>
    <w:p>
      <w:pPr>
        <w:spacing w:line="360" w:lineRule="auto"/>
        <w:ind w:firstLine="480" w:firstLineChars="200"/>
        <w:rPr>
          <w:rFonts w:hint="eastAsia" w:ascii="宋体" w:hAnsi="宋体" w:eastAsia="宋体" w:cs="宋体"/>
          <w:color w:val="auto"/>
          <w:sz w:val="24"/>
          <w:highlight w:val="none"/>
        </w:rPr>
      </w:pPr>
      <w:r>
        <w:rPr>
          <w:color w:val="auto"/>
          <w:sz w:val="24"/>
          <w:highlight w:val="none"/>
        </w:rPr>
        <w:t>2.计价原则：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w:t>
      </w:r>
      <w:r>
        <w:rPr>
          <w:rFonts w:hint="eastAsia" w:ascii="宋体" w:hAnsi="宋体" w:cs="宋体"/>
          <w:color w:val="auto"/>
          <w:sz w:val="24"/>
          <w:highlight w:val="none"/>
          <w:lang w:val="en-US" w:eastAsia="zh-CN"/>
        </w:rPr>
        <w:t>评审的</w:t>
      </w:r>
      <w:r>
        <w:rPr>
          <w:rFonts w:hint="eastAsia" w:ascii="宋体" w:hAnsi="宋体" w:eastAsia="宋体" w:cs="宋体"/>
          <w:color w:val="auto"/>
          <w:sz w:val="24"/>
          <w:highlight w:val="none"/>
        </w:rPr>
        <w:t>工程量清单有相同项目的，按照</w:t>
      </w:r>
      <w:r>
        <w:rPr>
          <w:rFonts w:hint="eastAsia" w:ascii="宋体" w:hAnsi="宋体" w:eastAsia="宋体"/>
          <w:color w:val="auto"/>
          <w:sz w:val="24"/>
          <w:highlight w:val="none"/>
        </w:rPr>
        <w:t>相同项目</w:t>
      </w:r>
      <w:r>
        <w:rPr>
          <w:rFonts w:hint="eastAsia" w:ascii="宋体" w:hAnsi="宋体" w:eastAsia="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cs="宋体"/>
          <w:color w:val="auto"/>
          <w:sz w:val="24"/>
          <w:highlight w:val="none"/>
          <w:lang w:val="en-US" w:eastAsia="zh-CN"/>
        </w:rPr>
        <w:t>下浮17.5%</w:t>
      </w:r>
      <w:r>
        <w:rPr>
          <w:rFonts w:hint="eastAsia" w:ascii="宋体" w:hAnsi="宋体" w:eastAsia="宋体" w:cs="宋体"/>
          <w:color w:val="auto"/>
          <w:sz w:val="24"/>
          <w:highlight w:val="none"/>
        </w:rPr>
        <w:t>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w:t>
      </w:r>
      <w:r>
        <w:rPr>
          <w:rFonts w:hint="eastAsia" w:ascii="宋体" w:hAnsi="宋体" w:cs="宋体"/>
          <w:color w:val="auto"/>
          <w:sz w:val="24"/>
          <w:highlight w:val="none"/>
          <w:lang w:val="en-US" w:eastAsia="zh-CN"/>
        </w:rPr>
        <w:t>评审的</w:t>
      </w:r>
      <w:r>
        <w:rPr>
          <w:rFonts w:hint="eastAsia" w:ascii="宋体" w:hAnsi="宋体" w:eastAsia="宋体" w:cs="宋体"/>
          <w:color w:val="auto"/>
          <w:sz w:val="24"/>
          <w:highlight w:val="none"/>
        </w:rPr>
        <w:t>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w:t>
      </w:r>
      <w:r>
        <w:rPr>
          <w:rFonts w:hint="eastAsia" w:ascii="宋体" w:hAnsi="宋体" w:cs="宋体"/>
          <w:color w:val="auto"/>
          <w:sz w:val="24"/>
          <w:highlight w:val="none"/>
          <w:lang w:val="en-US" w:eastAsia="zh-CN"/>
        </w:rPr>
        <w:t>下浮17.5%</w:t>
      </w:r>
      <w:r>
        <w:rPr>
          <w:rFonts w:hint="eastAsia" w:ascii="宋体" w:hAnsi="宋体" w:eastAsia="宋体" w:cs="宋体"/>
          <w:color w:val="auto"/>
          <w:sz w:val="24"/>
          <w:highlight w:val="none"/>
        </w:rPr>
        <w:t>认定；</w:t>
      </w:r>
    </w:p>
    <w:p>
      <w:pPr>
        <w:spacing w:line="360" w:lineRule="auto"/>
        <w:ind w:firstLine="480" w:firstLineChars="200"/>
        <w:rPr>
          <w:rFonts w:hint="default"/>
          <w:color w:val="auto"/>
          <w:sz w:val="24"/>
          <w:highlight w:val="non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w:t>
      </w:r>
      <w:r>
        <w:rPr>
          <w:rFonts w:hint="eastAsia" w:ascii="宋体" w:hAnsi="宋体" w:cs="宋体"/>
          <w:color w:val="auto"/>
          <w:sz w:val="24"/>
          <w:highlight w:val="none"/>
          <w:lang w:val="en-US" w:eastAsia="zh-CN"/>
        </w:rPr>
        <w:t>评审的</w:t>
      </w:r>
      <w:r>
        <w:rPr>
          <w:rFonts w:hint="eastAsia" w:ascii="宋体" w:hAnsi="宋体" w:eastAsia="宋体" w:cs="宋体"/>
          <w:color w:val="auto"/>
          <w:sz w:val="24"/>
          <w:highlight w:val="none"/>
        </w:rPr>
        <w:t>工程量清单中无适用或类似工程综合单价，综合单价根据2013清单规范+四川省2020定额计量计价，材料价格按同期泸州工程造价信息计算，并</w:t>
      </w:r>
      <w:r>
        <w:rPr>
          <w:rFonts w:hint="eastAsia" w:ascii="宋体" w:hAnsi="宋体" w:eastAsia="宋体" w:cs="宋体"/>
          <w:color w:val="auto"/>
          <w:sz w:val="24"/>
          <w:highlight w:val="none"/>
          <w:lang w:val="en-US" w:eastAsia="zh-CN"/>
        </w:rPr>
        <w:t>经业主委托的结算审核机构确认的综合单价</w:t>
      </w:r>
      <w:r>
        <w:rPr>
          <w:rFonts w:hint="eastAsia" w:ascii="宋体" w:hAnsi="宋体" w:eastAsia="宋体" w:cs="宋体"/>
          <w:color w:val="auto"/>
          <w:sz w:val="24"/>
          <w:highlight w:val="none"/>
        </w:rPr>
        <w:t>下浮</w:t>
      </w:r>
      <w:r>
        <w:rPr>
          <w:rFonts w:hint="eastAsia" w:ascii="宋体" w:hAnsi="宋体" w:cs="宋体"/>
          <w:color w:val="auto"/>
          <w:sz w:val="24"/>
          <w:highlight w:val="none"/>
          <w:u w:val="single"/>
          <w:lang w:val="en-US" w:eastAsia="zh-CN"/>
        </w:rPr>
        <w:t>17.5%</w:t>
      </w:r>
      <w:r>
        <w:rPr>
          <w:rFonts w:hint="eastAsia" w:ascii="宋体" w:hAnsi="宋体" w:eastAsia="宋体" w:cs="宋体"/>
          <w:color w:val="auto"/>
          <w:sz w:val="24"/>
          <w:highlight w:val="none"/>
          <w:u w:val="single"/>
          <w:lang w:val="en-US" w:eastAsia="zh-CN"/>
        </w:rPr>
        <w:t>为</w:t>
      </w:r>
      <w:r>
        <w:rPr>
          <w:rFonts w:hint="eastAsia" w:ascii="宋体" w:hAnsi="宋体" w:cs="宋体"/>
          <w:color w:val="auto"/>
          <w:sz w:val="24"/>
          <w:highlight w:val="none"/>
          <w:u w:val="single"/>
          <w:lang w:val="en-US" w:eastAsia="zh-CN"/>
        </w:rPr>
        <w:t>劳务等分包人的</w:t>
      </w:r>
      <w:r>
        <w:rPr>
          <w:rFonts w:hint="eastAsia" w:ascii="宋体" w:hAnsi="宋体" w:eastAsia="宋体" w:cs="宋体"/>
          <w:color w:val="auto"/>
          <w:sz w:val="24"/>
          <w:highlight w:val="none"/>
          <w:u w:val="single"/>
          <w:lang w:val="en-US" w:eastAsia="zh-CN"/>
        </w:rPr>
        <w:t>结算</w:t>
      </w:r>
      <w:r>
        <w:rPr>
          <w:rFonts w:hint="eastAsia" w:ascii="宋体" w:hAnsi="宋体" w:eastAsia="宋体" w:cs="宋体"/>
          <w:color w:val="auto"/>
          <w:sz w:val="24"/>
          <w:highlight w:val="none"/>
        </w:rPr>
        <w:t>综合单价，清单中</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rPr>
        <w:t>材料价格按市场认质认价</w:t>
      </w:r>
      <w:r>
        <w:rPr>
          <w:rFonts w:hint="eastAsia" w:ascii="宋体" w:hAnsi="宋体" w:cs="宋体"/>
          <w:color w:val="auto"/>
          <w:sz w:val="24"/>
          <w:highlight w:val="none"/>
          <w:lang w:val="en-US" w:eastAsia="zh-CN"/>
        </w:rPr>
        <w:t>形式与业主</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，认质认价材料不下浮。</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pPr>
        <w:spacing w:line="360" w:lineRule="auto"/>
        <w:ind w:firstLine="480" w:firstLineChars="200"/>
        <w:rPr>
          <w:rFonts w:hint="eastAsia" w:ascii="宋体" w:hAnsi="宋体" w:eastAsia="宋体" w:cs="宋体"/>
          <w:color w:val="auto"/>
          <w:sz w:val="24"/>
          <w:highlight w:val="none"/>
          <w:lang w:val="en-US" w:eastAsia="zh-CN"/>
        </w:rPr>
      </w:pPr>
      <w:bookmarkStart w:id="108" w:name="_Toc13301"/>
      <w:bookmarkStart w:id="109" w:name="_Toc28049_WPSOffice_Level2"/>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工程竣工并验收合格，劳务等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质保金在质量缺陷责任期届满后无息退还。</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等分包人最终结算款时，劳务等分包人应向工程承包人提供关于农民工工资、材料或设备商、机械机具租赁、钢管模板租赁、临时设施租赁、施工用水电等已结清的的承诺书，不得因本项目施工产生任何债务、欠款等纠纷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bookmarkStart w:id="110"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110"/>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widowControl/>
        <w:spacing w:line="360" w:lineRule="auto"/>
        <w:ind w:firstLine="48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劳务等分包人应</w:t>
      </w:r>
      <w:r>
        <w:rPr>
          <w:rFonts w:hint="eastAsia" w:ascii="宋体" w:hAnsi="宋体" w:eastAsia="宋体" w:cs="宋体"/>
          <w:color w:val="auto"/>
          <w:kern w:val="2"/>
          <w:sz w:val="24"/>
          <w:szCs w:val="24"/>
          <w:highlight w:val="none"/>
          <w:lang w:val="en-US" w:eastAsia="zh-CN" w:bidi="ar"/>
        </w:rPr>
        <w:t>将项目税收全部留存项目所在地，否则从</w:t>
      </w:r>
      <w:r>
        <w:rPr>
          <w:rFonts w:hint="eastAsia" w:ascii="宋体" w:hAnsi="宋体" w:cs="宋体"/>
          <w:color w:val="auto"/>
          <w:kern w:val="2"/>
          <w:sz w:val="24"/>
          <w:szCs w:val="24"/>
          <w:highlight w:val="none"/>
          <w:lang w:val="en-US" w:eastAsia="zh-CN" w:bidi="ar"/>
        </w:rPr>
        <w:t>劳务等分包人结算价款中扣除</w:t>
      </w:r>
      <w:r>
        <w:rPr>
          <w:rFonts w:hint="eastAsia" w:ascii="宋体" w:hAnsi="宋体" w:eastAsia="宋体" w:cs="宋体"/>
          <w:color w:val="auto"/>
          <w:kern w:val="2"/>
          <w:sz w:val="24"/>
          <w:szCs w:val="24"/>
          <w:highlight w:val="none"/>
          <w:lang w:val="en-US" w:eastAsia="zh-CN" w:bidi="ar"/>
        </w:rPr>
        <w:t xml:space="preserve"> 3%作为违约金</w:t>
      </w:r>
      <w:r>
        <w:rPr>
          <w:rFonts w:hint="eastAsia" w:ascii="宋体" w:hAnsi="宋体" w:eastAsia="宋体" w:cs="宋体"/>
          <w:color w:val="auto"/>
          <w:sz w:val="24"/>
          <w:highlight w:val="none"/>
          <w:lang w:eastAsia="zh-CN"/>
        </w:rPr>
        <w:t>。</w:t>
      </w:r>
    </w:p>
    <w:p>
      <w:pPr>
        <w:widowControl/>
        <w:spacing w:line="360" w:lineRule="auto"/>
        <w:ind w:firstLine="48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应按本项目中选通知书及</w:t>
      </w:r>
      <w:r>
        <w:rPr>
          <w:rFonts w:hint="eastAsia" w:ascii="宋体" w:hAnsi="宋体" w:cs="宋体"/>
          <w:color w:val="auto"/>
          <w:sz w:val="24"/>
          <w:highlight w:val="none"/>
          <w:lang w:val="en-US" w:eastAsia="zh-CN"/>
        </w:rPr>
        <w:t>询比</w:t>
      </w:r>
      <w:r>
        <w:rPr>
          <w:rFonts w:hint="eastAsia" w:ascii="宋体" w:hAnsi="宋体" w:eastAsia="宋体" w:cs="宋体"/>
          <w:color w:val="auto"/>
          <w:sz w:val="24"/>
          <w:highlight w:val="none"/>
        </w:rPr>
        <w:t>文件要求于合同签订前缴纳</w:t>
      </w:r>
      <w:r>
        <w:rPr>
          <w:rFonts w:hint="eastAsia" w:ascii="宋体" w:hAnsi="宋体" w:eastAsia="宋体" w:cs="宋体"/>
          <w:color w:val="auto"/>
          <w:sz w:val="24"/>
          <w:highlight w:val="none"/>
          <w:u w:val="none"/>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万元</w:t>
      </w: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eastAsia="zh-CN"/>
        </w:rPr>
        <w:t>或履约保函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w:t>
      </w:r>
      <w:r>
        <w:rPr>
          <w:rFonts w:hint="eastAsia" w:ascii="宋体" w:hAnsi="宋体" w:cs="宋体"/>
          <w:color w:val="auto"/>
          <w:sz w:val="24"/>
          <w:highlight w:val="none"/>
          <w:lang w:val="en-US" w:eastAsia="zh-CN"/>
        </w:rPr>
        <w:t>以现金方式缴纳</w:t>
      </w:r>
      <w:r>
        <w:rPr>
          <w:rFonts w:hint="eastAsia" w:ascii="宋体" w:hAnsi="宋体" w:eastAsia="宋体" w:cs="宋体"/>
          <w:color w:val="auto"/>
          <w:sz w:val="24"/>
          <w:highlight w:val="none"/>
          <w:lang w:val="en-US" w:eastAsia="zh-CN"/>
        </w:rPr>
        <w:t>履约保证金</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履约保证金在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无违约行为且经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验收合格后15个工作日内凭</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书面申请予以无息退还</w:t>
      </w:r>
      <w:r>
        <w:rPr>
          <w:rFonts w:hint="eastAsia" w:ascii="宋体" w:hAnsi="宋体" w:cs="宋体"/>
          <w:color w:val="auto"/>
          <w:sz w:val="24"/>
          <w:highlight w:val="none"/>
          <w:lang w:val="en-US" w:eastAsia="zh-CN"/>
        </w:rPr>
        <w:t>；如提交履约保函的，保函期限至少应至本项目竣工验收合格之日</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108"/>
      <w:bookmarkEnd w:id="109"/>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在施工期间应严格遵守《建筑安装工程安全技术规程</w:t>
      </w:r>
      <w:bookmarkStart w:id="111" w:name="_Hlk44399338"/>
      <w:r>
        <w:rPr>
          <w:rFonts w:hint="eastAsia" w:ascii="宋体" w:hAnsi="宋体" w:eastAsia="宋体" w:cs="宋体"/>
          <w:color w:val="auto"/>
          <w:sz w:val="24"/>
          <w:highlight w:val="none"/>
        </w:rPr>
        <w:t>》</w:t>
      </w:r>
      <w:bookmarkEnd w:id="111"/>
      <w:bookmarkStart w:id="112" w:name="_Hlk44399327"/>
      <w:r>
        <w:rPr>
          <w:rFonts w:hint="eastAsia" w:ascii="宋体" w:hAnsi="宋体" w:eastAsia="宋体" w:cs="宋体"/>
          <w:color w:val="auto"/>
          <w:sz w:val="24"/>
          <w:highlight w:val="none"/>
        </w:rPr>
        <w:t>《</w:t>
      </w:r>
      <w:bookmarkEnd w:id="112"/>
      <w:r>
        <w:rPr>
          <w:rFonts w:hint="eastAsia" w:ascii="宋体" w:hAnsi="宋体" w:eastAsia="宋体" w:cs="宋体"/>
          <w:color w:val="auto"/>
          <w:sz w:val="24"/>
          <w:highlight w:val="none"/>
        </w:rPr>
        <w:t>建筑安装工程安全操作规程》《中华人民共和国消防条例》和其它相关安全生产、防火等法规、规范；</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应承担由此引发的一切经济损失。</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未按要求整改，有权要求停工并拒付有关费用；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有偿使用；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义务</w:t>
      </w:r>
    </w:p>
    <w:p>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应采取有效措施确保施工用水，并充分考虑工程所在地用水不便、停水、水压偏低等的风险。任何因施工现场供水原因而导致的一切损失由承包人承担。</w:t>
      </w:r>
      <w:r>
        <w:rPr>
          <w:rFonts w:hint="eastAsia" w:ascii="宋体" w:hAnsi="宋体" w:cs="宋体"/>
          <w:color w:val="auto"/>
          <w:sz w:val="24"/>
          <w:highlight w:val="none"/>
          <w:lang w:val="en-US" w:eastAsia="zh-CN"/>
        </w:rPr>
        <w:t>上述费用已包含中报价中，工程承包人不另外支付。</w:t>
      </w:r>
    </w:p>
    <w:p>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因劳务等分包人原因导致不能按期移交造成的一切损失由劳务等分包人承担。</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应给予修复或赔偿；  </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全部承担，工期不得顺延；</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承担责任，并赔偿全部损失并承担相应法律责任；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人员应持证上岗，作业等过程中发生的安全责任自行承担。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w:t>
      </w:r>
      <w:r>
        <w:rPr>
          <w:rFonts w:hint="eastAsia" w:ascii="宋体" w:hAnsi="宋体" w:cs="宋体"/>
          <w:color w:val="auto"/>
          <w:sz w:val="24"/>
          <w:highlight w:val="none"/>
          <w:lang w:val="en-US" w:eastAsia="zh-CN"/>
        </w:rPr>
        <w:t>其中总承包资料份数按业主要求，劳务等分包资料至少</w:t>
      </w:r>
      <w:r>
        <w:rPr>
          <w:rFonts w:hint="eastAsia" w:ascii="宋体" w:hAnsi="宋体" w:eastAsia="宋体" w:cs="宋体"/>
          <w:color w:val="auto"/>
          <w:sz w:val="24"/>
          <w:highlight w:val="none"/>
          <w:lang w:val="en-US" w:eastAsia="zh-CN"/>
        </w:rPr>
        <w:t>2份。</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负责编制结算并配合业主的</w:t>
      </w:r>
      <w:r>
        <w:rPr>
          <w:rFonts w:hint="eastAsia" w:ascii="宋体" w:hAnsi="宋体" w:cs="宋体"/>
          <w:color w:val="auto"/>
          <w:sz w:val="24"/>
          <w:highlight w:val="none"/>
          <w:lang w:val="en-US" w:eastAsia="zh-CN"/>
        </w:rPr>
        <w:t>结算审核</w:t>
      </w:r>
      <w:r>
        <w:rPr>
          <w:rFonts w:hint="eastAsia" w:ascii="宋体" w:hAnsi="宋体" w:eastAsia="宋体" w:cs="宋体"/>
          <w:color w:val="auto"/>
          <w:sz w:val="24"/>
          <w:highlight w:val="none"/>
        </w:rPr>
        <w:t>工作。结算审减部分的金额大于送审金额的5%时，超过部分的效益审计费用由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承担；审增效益费全部由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承担。效益费率以政府机构相关文件规定或</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与咨询单位签订的合同为准。</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w:t>
      </w:r>
      <w:r>
        <w:rPr>
          <w:rFonts w:hint="eastAsia" w:ascii="宋体" w:hAnsi="宋体" w:cs="宋体"/>
          <w:color w:val="auto"/>
          <w:sz w:val="24"/>
          <w:highlight w:val="none"/>
          <w:lang w:val="en-US" w:eastAsia="zh-CN"/>
        </w:rPr>
        <w:t>所有</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[包括甲供]</w:t>
      </w:r>
      <w:r>
        <w:rPr>
          <w:rFonts w:hint="eastAsia" w:ascii="宋体" w:hAnsi="宋体" w:eastAsia="宋体" w:cs="宋体"/>
          <w:color w:val="auto"/>
          <w:sz w:val="24"/>
          <w:highlight w:val="none"/>
          <w:lang w:val="en-US" w:eastAsia="zh-CN"/>
        </w:rPr>
        <w:t>的一般性检测、特殊检测如桩基检测、空气检测、放线费、除边坡及深基坑外的其他监测等费用）并承诺完善项目承包范围事项的检验检测合格及费用承担；工作内容均须满足规范标准规定和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在合同履行过程中，如工程承包人单方面解除合同，需向劳务等分包人支付已实际发生的费用的20%作为违约金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w:t>
      </w:r>
      <w:r>
        <w:rPr>
          <w:rFonts w:hint="eastAsia" w:ascii="宋体" w:hAnsi="宋体" w:cs="宋体"/>
          <w:color w:val="auto"/>
          <w:sz w:val="24"/>
          <w:highlight w:val="none"/>
          <w:lang w:val="en-US" w:eastAsia="zh-CN"/>
        </w:rPr>
        <w:t>虽采取措施整改，但</w:t>
      </w:r>
      <w:r>
        <w:rPr>
          <w:rFonts w:hint="eastAsia" w:ascii="宋体" w:hAnsi="宋体" w:eastAsia="宋体" w:cs="宋体"/>
          <w:color w:val="auto"/>
          <w:sz w:val="24"/>
          <w:highlight w:val="none"/>
        </w:rPr>
        <w:t xml:space="preserve">超过 </w:t>
      </w:r>
      <w:r>
        <w:rPr>
          <w:rFonts w:hint="eastAsia" w:ascii="宋体" w:hAnsi="宋体" w:cs="宋体"/>
          <w:color w:val="auto"/>
          <w:sz w:val="24"/>
          <w:highlight w:val="none"/>
          <w:lang w:val="en-US" w:eastAsia="zh-CN"/>
        </w:rPr>
        <w:t>30日</w:t>
      </w:r>
      <w:r>
        <w:rPr>
          <w:rFonts w:hint="eastAsia" w:ascii="宋体" w:hAnsi="宋体" w:eastAsia="宋体" w:cs="宋体"/>
          <w:color w:val="auto"/>
          <w:sz w:val="24"/>
          <w:highlight w:val="none"/>
        </w:rPr>
        <w:t>仍未完成的，</w:t>
      </w:r>
      <w:bookmarkStart w:id="113"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113"/>
      <w:r>
        <w:rPr>
          <w:rFonts w:hint="eastAsia" w:ascii="宋体" w:hAnsi="宋体" w:eastAsia="宋体" w:cs="宋体"/>
          <w:color w:val="auto"/>
          <w:sz w:val="24"/>
          <w:highlight w:val="none"/>
        </w:rPr>
        <w:t>支付违约金。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pStyle w:val="2"/>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等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等分包人劳务报酬中扣除外，另还应向工程承包人承担其实施费用的20%作为违约金。</w:t>
      </w:r>
    </w:p>
    <w:p>
      <w:pPr>
        <w:spacing w:line="360" w:lineRule="auto"/>
        <w:ind w:firstLine="420"/>
        <w:rPr>
          <w:rFonts w:hint="eastAsia"/>
          <w:color w:val="auto"/>
          <w:sz w:val="24"/>
          <w:highlight w:val="none"/>
          <w:lang w:val="en-US" w:eastAsia="zh-CN"/>
        </w:rPr>
      </w:pPr>
      <w:r>
        <w:rPr>
          <w:rFonts w:hint="eastAsia"/>
          <w:color w:val="auto"/>
          <w:sz w:val="24"/>
          <w:highlight w:val="none"/>
          <w:lang w:val="en-US" w:eastAsia="zh-CN"/>
        </w:rPr>
        <w:t>（4）</w:t>
      </w:r>
      <w:r>
        <w:rPr>
          <w:rFonts w:hint="default"/>
          <w:color w:val="auto"/>
          <w:sz w:val="24"/>
          <w:highlight w:val="none"/>
          <w:lang w:val="en-US" w:eastAsia="zh-CN"/>
        </w:rPr>
        <w:t>工程完工后，竣工资料不完善或移交程序不清晰，导致项目无法按期完成竣工验收，</w:t>
      </w:r>
      <w:r>
        <w:rPr>
          <w:rFonts w:hint="eastAsia"/>
          <w:color w:val="auto"/>
          <w:sz w:val="24"/>
          <w:highlight w:val="none"/>
          <w:lang w:val="en-US" w:eastAsia="zh-CN"/>
        </w:rPr>
        <w:t>由此产生的一切损失由劳务等分包人承担。</w:t>
      </w:r>
    </w:p>
    <w:p>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5）劳务等分包人不得将本合同项下的劳务作业转包或再分包给他人。否则，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r>
        <w:rPr>
          <w:rFonts w:hint="eastAsia" w:ascii="宋体" w:hAnsi="宋体" w:cs="宋体"/>
          <w:color w:val="auto"/>
          <w:sz w:val="24"/>
          <w:highlight w:val="none"/>
          <w:lang w:eastAsia="zh-CN"/>
        </w:rPr>
        <w:t>。</w:t>
      </w:r>
    </w:p>
    <w:p>
      <w:pPr>
        <w:pStyle w:val="2"/>
        <w:spacing w:line="360" w:lineRule="auto"/>
        <w:ind w:firstLine="480" w:firstLineChars="200"/>
        <w:rPr>
          <w:rFonts w:hint="default"/>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原因</w:t>
      </w:r>
      <w:r>
        <w:rPr>
          <w:rFonts w:hint="eastAsia" w:ascii="宋体" w:hAnsi="宋体" w:cs="宋体"/>
          <w:color w:val="auto"/>
          <w:kern w:val="2"/>
          <w:sz w:val="24"/>
          <w:szCs w:val="24"/>
          <w:highlight w:val="none"/>
          <w:lang w:val="en-US" w:eastAsia="zh-CN" w:bidi="ar-SA"/>
        </w:rPr>
        <w:t>因本项目施工</w:t>
      </w:r>
      <w:r>
        <w:rPr>
          <w:rFonts w:hint="eastAsia" w:ascii="宋体" w:hAnsi="宋体" w:eastAsia="宋体" w:cs="宋体"/>
          <w:color w:val="auto"/>
          <w:kern w:val="2"/>
          <w:sz w:val="24"/>
          <w:szCs w:val="24"/>
          <w:highlight w:val="none"/>
          <w:lang w:val="en-US" w:eastAsia="zh-CN" w:bidi="ar-SA"/>
        </w:rPr>
        <w:t>引发</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农民工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材料供应商</w:t>
      </w:r>
      <w:r>
        <w:rPr>
          <w:rFonts w:hint="eastAsia" w:ascii="宋体" w:hAnsi="宋体" w:cs="宋体"/>
          <w:color w:val="auto"/>
          <w:kern w:val="2"/>
          <w:sz w:val="24"/>
          <w:szCs w:val="24"/>
          <w:highlight w:val="none"/>
          <w:lang w:val="en-US" w:eastAsia="zh-CN" w:bidi="ar-SA"/>
        </w:rPr>
        <w:t>、租赁商和其他因素</w:t>
      </w:r>
      <w:r>
        <w:rPr>
          <w:rFonts w:hint="eastAsia" w:ascii="宋体" w:hAnsi="宋体" w:eastAsia="宋体" w:cs="宋体"/>
          <w:color w:val="auto"/>
          <w:kern w:val="2"/>
          <w:sz w:val="24"/>
          <w:szCs w:val="24"/>
          <w:highlight w:val="none"/>
          <w:lang w:val="en-US" w:eastAsia="zh-CN" w:bidi="ar-SA"/>
        </w:rPr>
        <w:t>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相应损失</w:t>
      </w:r>
      <w:r>
        <w:rPr>
          <w:rFonts w:hint="eastAsia" w:ascii="宋体" w:hAnsi="宋体" w:cs="宋体"/>
          <w:color w:val="auto"/>
          <w:kern w:val="2"/>
          <w:sz w:val="24"/>
          <w:szCs w:val="24"/>
          <w:highlight w:val="none"/>
          <w:lang w:val="en-US" w:eastAsia="zh-CN" w:bidi="ar-SA"/>
        </w:rPr>
        <w:t>外</w:t>
      </w:r>
      <w:r>
        <w:rPr>
          <w:rFonts w:hint="eastAsia" w:ascii="宋体" w:hAnsi="宋体" w:eastAsia="宋体" w:cs="宋体"/>
          <w:color w:val="auto"/>
          <w:kern w:val="2"/>
          <w:sz w:val="24"/>
          <w:szCs w:val="24"/>
          <w:highlight w:val="none"/>
          <w:lang w:val="en-US" w:eastAsia="zh-CN" w:bidi="ar-SA"/>
        </w:rPr>
        <w:t>，并应按</w:t>
      </w:r>
      <w:r>
        <w:rPr>
          <w:rFonts w:hint="eastAsia" w:ascii="宋体" w:hAnsi="宋体" w:cs="宋体"/>
          <w:color w:val="auto"/>
          <w:kern w:val="2"/>
          <w:sz w:val="24"/>
          <w:szCs w:val="24"/>
          <w:highlight w:val="none"/>
          <w:lang w:val="en-US" w:eastAsia="zh-CN" w:bidi="ar-SA"/>
        </w:rPr>
        <w:t>每发生一次讨薪、上访事件向工程承包人支付20000元/次的违约金。</w:t>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，另定验收日期。</w:t>
      </w:r>
    </w:p>
    <w:p>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14" w:name="OLE_LINK30"/>
      <w:r>
        <w:rPr>
          <w:rFonts w:hint="eastAsia" w:ascii="宋体" w:hAnsi="宋体" w:eastAsia="宋体" w:cs="宋体"/>
          <w:color w:val="auto"/>
          <w:sz w:val="24"/>
          <w:highlight w:val="none"/>
        </w:rPr>
        <w:t>本工程保修责任期：</w:t>
      </w:r>
      <w:bookmarkStart w:id="115"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施工的工程项目范围。质量保修期自工程竣工验收合格之日起计算；</w:t>
      </w:r>
      <w:bookmarkEnd w:id="114"/>
      <w:bookmarkEnd w:id="115"/>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全额赔偿。</w:t>
      </w:r>
    </w:p>
    <w:p>
      <w:pPr>
        <w:pStyle w:val="2"/>
        <w:spacing w:line="360" w:lineRule="auto"/>
        <w:rPr>
          <w:rFonts w:hint="default" w:eastAsia="宋体"/>
          <w:color w:val="auto"/>
          <w:sz w:val="24"/>
          <w:highlight w:val="none"/>
          <w:lang w:val="en-US" w:eastAsia="zh-CN"/>
        </w:rPr>
      </w:pPr>
      <w:r>
        <w:rPr>
          <w:rFonts w:hint="eastAsia" w:ascii="宋体" w:hAnsi="宋体" w:cs="宋体"/>
          <w:color w:val="auto"/>
          <w:sz w:val="24"/>
          <w:highlight w:val="none"/>
          <w:lang w:val="en-US" w:eastAsia="zh-CN"/>
        </w:rPr>
        <w:t xml:space="preserve">    3.工程质保期内发生的质保问题，在接到</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通知48小时内进场查看，3日内无故拖延进场的，扣除质保金1000元/次，逾期7日内未进场处置的，视为同意由</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委托第三方进行处理，由此产生的费用由</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承担并从质保金予以扣除。</w:t>
      </w:r>
    </w:p>
    <w:p>
      <w:pPr>
        <w:widowControl/>
        <w:spacing w:line="360" w:lineRule="auto"/>
        <w:ind w:firstLine="480"/>
        <w:rPr>
          <w:rFonts w:hint="eastAsia" w:ascii="宋体" w:hAnsi="宋体" w:eastAsia="宋体" w:cs="宋体"/>
          <w:b/>
          <w:color w:val="auto"/>
          <w:sz w:val="24"/>
          <w:highlight w:val="none"/>
        </w:rPr>
      </w:pPr>
      <w:bookmarkStart w:id="116" w:name="_Toc20203"/>
      <w:bookmarkStart w:id="117" w:name="_Toc19121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116"/>
      <w:bookmarkEnd w:id="117"/>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80" w:firstLineChars="200"/>
        <w:rPr>
          <w:rFonts w:hint="eastAsia" w:ascii="宋体" w:hAnsi="宋体" w:eastAsia="宋体" w:cs="宋体"/>
          <w:b/>
          <w:color w:val="auto"/>
          <w:sz w:val="24"/>
          <w:highlight w:val="none"/>
        </w:rPr>
      </w:pPr>
      <w:bookmarkStart w:id="118" w:name="_Toc5663_WPSOffice_Level2"/>
      <w:bookmarkStart w:id="119" w:name="_Toc13247"/>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118"/>
      <w:bookmarkEnd w:id="119"/>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pPr>
        <w:widowControl/>
        <w:spacing w:line="360" w:lineRule="auto"/>
        <w:ind w:left="549"/>
        <w:rPr>
          <w:rFonts w:hint="eastAsia" w:ascii="宋体" w:hAnsi="宋体" w:eastAsia="宋体" w:cs="宋体"/>
          <w:color w:val="auto"/>
          <w:sz w:val="24"/>
          <w:highlight w:val="none"/>
        </w:rPr>
      </w:pPr>
      <w:bookmarkStart w:id="120" w:name="_Toc29390"/>
      <w:bookmarkStart w:id="121" w:name="_Toc27466_WPSOffice_Level3"/>
      <w:r>
        <w:rPr>
          <w:rFonts w:hint="eastAsia" w:ascii="宋体" w:hAnsi="宋体" w:eastAsia="宋体" w:cs="宋体"/>
          <w:color w:val="auto"/>
          <w:sz w:val="24"/>
          <w:highlight w:val="none"/>
        </w:rPr>
        <w:t>（1）双方协商一致；</w:t>
      </w:r>
      <w:bookmarkEnd w:id="120"/>
      <w:bookmarkEnd w:id="121"/>
    </w:p>
    <w:p>
      <w:pPr>
        <w:widowControl/>
        <w:spacing w:line="360" w:lineRule="auto"/>
        <w:ind w:left="549"/>
        <w:rPr>
          <w:rFonts w:hint="eastAsia" w:ascii="宋体" w:hAnsi="宋体" w:eastAsia="宋体" w:cs="宋体"/>
          <w:color w:val="auto"/>
          <w:sz w:val="24"/>
          <w:highlight w:val="none"/>
        </w:rPr>
      </w:pPr>
      <w:bookmarkStart w:id="122" w:name="_Toc5421"/>
      <w:bookmarkStart w:id="123" w:name="_Toc10831_WPSOffice_Level3"/>
      <w:r>
        <w:rPr>
          <w:rFonts w:hint="eastAsia" w:ascii="宋体" w:hAnsi="宋体" w:eastAsia="宋体" w:cs="宋体"/>
          <w:color w:val="auto"/>
          <w:sz w:val="24"/>
          <w:highlight w:val="none"/>
        </w:rPr>
        <w:t>（2）因不可抗力致使合同无法履行；</w:t>
      </w:r>
      <w:bookmarkEnd w:id="122"/>
      <w:bookmarkEnd w:id="123"/>
    </w:p>
    <w:p>
      <w:pPr>
        <w:widowControl/>
        <w:spacing w:line="360" w:lineRule="auto"/>
        <w:ind w:left="549"/>
        <w:rPr>
          <w:rFonts w:hint="eastAsia" w:ascii="宋体" w:hAnsi="宋体" w:eastAsia="宋体" w:cs="宋体"/>
          <w:color w:val="auto"/>
          <w:sz w:val="24"/>
          <w:highlight w:val="none"/>
        </w:rPr>
      </w:pPr>
      <w:bookmarkStart w:id="124" w:name="_Toc6884_WPSOffice_Level3"/>
      <w:bookmarkStart w:id="125" w:name="_Toc22239"/>
      <w:r>
        <w:rPr>
          <w:rFonts w:hint="eastAsia" w:ascii="宋体" w:hAnsi="宋体" w:eastAsia="宋体" w:cs="宋体"/>
          <w:color w:val="auto"/>
          <w:sz w:val="24"/>
          <w:highlight w:val="none"/>
        </w:rPr>
        <w:t>（3）因一方原因导致合同</w:t>
      </w:r>
      <w:bookmarkEnd w:id="124"/>
      <w:bookmarkEnd w:id="125"/>
      <w:r>
        <w:rPr>
          <w:rFonts w:hint="eastAsia" w:ascii="宋体" w:hAnsi="宋体" w:eastAsia="宋体" w:cs="宋体"/>
          <w:color w:val="auto"/>
          <w:sz w:val="24"/>
          <w:highlight w:val="none"/>
        </w:rPr>
        <w:t>目的无法实现的，经催告后仍不能履行的；</w:t>
      </w:r>
    </w:p>
    <w:p>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不履行响应文件及合同承诺。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ascii="宋体" w:hAnsi="宋体" w:cs="宋体"/>
          <w:color w:val="auto"/>
          <w:sz w:val="24"/>
          <w:highlight w:val="none"/>
          <w:lang w:val="en-US" w:eastAsia="zh-CN"/>
        </w:rPr>
        <w:t xml:space="preserve">     （5）合同约定其他解除情形。</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4.如因不可抗力致使本合同无法履行，或因一方违约或因发包人原因造成工程停建或缓建，致使合同无法履行的，工程承包人和劳务等分包人可以解除合同。</w:t>
      </w:r>
    </w:p>
    <w:p>
      <w:pPr>
        <w:pStyle w:val="2"/>
        <w:spacing w:line="360" w:lineRule="auto"/>
        <w:rPr>
          <w:rFonts w:hint="default" w:eastAsia="宋体"/>
          <w:color w:val="auto"/>
          <w:sz w:val="24"/>
          <w:highlight w:val="none"/>
          <w:lang w:val="en-US" w:eastAsia="zh-CN"/>
        </w:rPr>
      </w:pPr>
      <w:r>
        <w:rPr>
          <w:rFonts w:hint="eastAsia" w:ascii="宋体" w:hAnsi="宋体" w:cs="宋体"/>
          <w:color w:val="auto"/>
          <w:sz w:val="24"/>
          <w:highlight w:val="none"/>
          <w:lang w:val="en-US" w:eastAsia="zh-CN"/>
        </w:rPr>
        <w:t>  5.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pPr>
        <w:widowControl/>
        <w:spacing w:line="360" w:lineRule="auto"/>
        <w:ind w:firstLine="480" w:firstLineChars="200"/>
        <w:rPr>
          <w:rFonts w:hint="eastAsia" w:ascii="宋体" w:hAnsi="宋体" w:eastAsia="宋体" w:cs="宋体"/>
          <w:b/>
          <w:color w:val="auto"/>
          <w:sz w:val="24"/>
          <w:highlight w:val="none"/>
        </w:rPr>
      </w:pPr>
      <w:bookmarkStart w:id="126" w:name="_Toc267"/>
      <w:bookmarkStart w:id="127" w:name="_Toc1280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126"/>
      <w:bookmarkEnd w:id="127"/>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1.本合同甲乙双方法定代表人或授权代表人签章并加盖公司印章（或合同章）后生效，一式肆份，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执壹份，均具同等法律效力；</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二十、补充条款</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w:t>
      </w:r>
      <w:r>
        <w:rPr>
          <w:rFonts w:hint="default"/>
          <w:color w:val="auto"/>
          <w:sz w:val="24"/>
          <w:highlight w:val="none"/>
          <w:lang w:val="en-US" w:eastAsia="zh-CN"/>
        </w:rPr>
        <w:t>劳务等分包人应严格按照国家、省、市、区颁布的相关《农民工实名制管理办法》执行。</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2.</w:t>
      </w:r>
      <w:r>
        <w:rPr>
          <w:rFonts w:hint="default"/>
          <w:color w:val="auto"/>
          <w:sz w:val="24"/>
          <w:highlight w:val="none"/>
          <w:lang w:val="en-US" w:eastAsia="zh-CN"/>
        </w:rPr>
        <w:t>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万元整的违约金，拖欠的工资有权从工程款中扣除相应金额，交由工程所在地行政主管部门或发放，且有权因此单方面终止合同。</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3.</w:t>
      </w:r>
      <w:r>
        <w:rPr>
          <w:rFonts w:hint="default"/>
          <w:color w:val="auto"/>
          <w:sz w:val="24"/>
          <w:highlight w:val="none"/>
          <w:lang w:val="en-US" w:eastAsia="zh-CN"/>
        </w:rPr>
        <w:t>施工现场管理人员实行压证施工制度和请销假制度。劳务等分包人派驻现场的项目经理、技术负责人和现场管理人员应与投标文件承诺的一致。项目经理、技术负责人和现场管理人员（施工员、安全员）须常驻现场，负责该工程的施工、安全管理和协调工作等。资格证书至本合同全部工程完工后退还。项目经理、项目技术负责人和现场管理人员</w:t>
      </w:r>
      <w:r>
        <w:rPr>
          <w:rFonts w:hint="default"/>
          <w:color w:val="auto"/>
          <w:sz w:val="24"/>
          <w:highlight w:val="none"/>
          <w:lang w:val="en-US" w:eastAsia="zh-CN"/>
        </w:rPr>
        <w:t>（施工员、安全员）实行请销假制度。在合同履行过程中，劳务等分包人不得擅自变更项目班子成员，否则视为违约，工程承包人有权中止与劳务等分包人的合同并不退还劳务等分包人履约保证金。</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4.</w:t>
      </w:r>
      <w:r>
        <w:rPr>
          <w:rFonts w:hint="default"/>
          <w:color w:val="auto"/>
          <w:sz w:val="24"/>
          <w:highlight w:val="none"/>
          <w:lang w:val="en-US" w:eastAsia="zh-CN"/>
        </w:rPr>
        <w:t>劳务等分包人应确保施工现场安全文明施工和作业活动符合主管部门对安全文明施工措施的评定相关规定，安全文明施工措施费经主管部门核定后，按核定的安全文明施工费费率计取，工程承包人占</w:t>
      </w:r>
      <w:r>
        <w:rPr>
          <w:rFonts w:hint="eastAsia"/>
          <w:color w:val="auto"/>
          <w:sz w:val="24"/>
          <w:highlight w:val="none"/>
          <w:lang w:val="en-US" w:eastAsia="zh-CN"/>
        </w:rPr>
        <w:t>15</w:t>
      </w:r>
      <w:r>
        <w:rPr>
          <w:rFonts w:hint="default"/>
          <w:color w:val="auto"/>
          <w:sz w:val="24"/>
          <w:highlight w:val="none"/>
          <w:lang w:val="en-US" w:eastAsia="zh-CN"/>
        </w:rPr>
        <w:t>%，劳务等分包人占</w:t>
      </w:r>
      <w:r>
        <w:rPr>
          <w:rFonts w:hint="eastAsia"/>
          <w:color w:val="auto"/>
          <w:sz w:val="24"/>
          <w:highlight w:val="none"/>
          <w:lang w:val="en-US" w:eastAsia="zh-CN"/>
        </w:rPr>
        <w:t>85</w:t>
      </w:r>
      <w:r>
        <w:rPr>
          <w:rFonts w:hint="default"/>
          <w:color w:val="auto"/>
          <w:sz w:val="24"/>
          <w:highlight w:val="none"/>
          <w:lang w:val="en-US" w:eastAsia="zh-CN"/>
        </w:rPr>
        <w:t>%。安全文明施工措施费在劳务等分包人进场，临设搭设完成，在工程承包人办理完成施工许可证后十五个工作日内支付</w:t>
      </w:r>
      <w:r>
        <w:rPr>
          <w:rFonts w:hint="eastAsia"/>
          <w:color w:val="auto"/>
          <w:sz w:val="24"/>
          <w:highlight w:val="none"/>
          <w:lang w:val="en-US" w:eastAsia="zh-CN"/>
        </w:rPr>
        <w:t>评审清单</w:t>
      </w:r>
      <w:r>
        <w:rPr>
          <w:rFonts w:hint="default"/>
          <w:color w:val="auto"/>
          <w:sz w:val="24"/>
          <w:highlight w:val="none"/>
          <w:lang w:val="en-US" w:eastAsia="zh-CN"/>
        </w:rPr>
        <w:t>已标</w:t>
      </w:r>
      <w:r>
        <w:rPr>
          <w:rFonts w:hint="eastAsia"/>
          <w:color w:val="auto"/>
          <w:sz w:val="24"/>
          <w:highlight w:val="none"/>
          <w:lang w:val="en-US" w:eastAsia="zh-CN"/>
        </w:rPr>
        <w:t>综合单价下浮17.5%后计算的</w:t>
      </w:r>
      <w:r>
        <w:rPr>
          <w:rFonts w:hint="default"/>
          <w:color w:val="auto"/>
          <w:sz w:val="24"/>
          <w:highlight w:val="none"/>
          <w:lang w:val="en-US" w:eastAsia="zh-CN"/>
        </w:rPr>
        <w:t>安全文明施工费基本费50%的70%，其余安全文明施工费进度款中按照基本费费率计算支付。除非合同中另有规定，</w:t>
      </w:r>
      <w:r>
        <w:rPr>
          <w:rFonts w:hint="eastAsia"/>
          <w:color w:val="auto"/>
          <w:sz w:val="24"/>
          <w:highlight w:val="none"/>
          <w:lang w:val="en-US" w:eastAsia="zh-CN"/>
        </w:rPr>
        <w:t>经业主聘请的第三方造价咨询单位出具的评审报告综合单价下浮17.5%为</w:t>
      </w:r>
      <w:r>
        <w:rPr>
          <w:rFonts w:hint="default"/>
          <w:color w:val="auto"/>
          <w:sz w:val="24"/>
          <w:highlight w:val="none"/>
          <w:lang w:val="en-US" w:eastAsia="zh-CN"/>
        </w:rPr>
        <w:t>劳务等分包人</w:t>
      </w:r>
      <w:r>
        <w:rPr>
          <w:rFonts w:hint="eastAsia"/>
          <w:color w:val="auto"/>
          <w:sz w:val="24"/>
          <w:highlight w:val="none"/>
          <w:lang w:val="en-US" w:eastAsia="zh-CN"/>
        </w:rPr>
        <w:t>的</w:t>
      </w:r>
      <w:r>
        <w:rPr>
          <w:rFonts w:hint="default"/>
          <w:color w:val="auto"/>
          <w:sz w:val="24"/>
          <w:highlight w:val="none"/>
          <w:lang w:val="en-US" w:eastAsia="zh-CN"/>
        </w:rPr>
        <w:t>报价</w:t>
      </w:r>
      <w:r>
        <w:rPr>
          <w:rFonts w:hint="eastAsia"/>
          <w:color w:val="auto"/>
          <w:sz w:val="24"/>
          <w:highlight w:val="none"/>
          <w:lang w:val="en-US" w:eastAsia="zh-CN"/>
        </w:rPr>
        <w:t>和各项费用汇总报价</w:t>
      </w:r>
      <w:r>
        <w:rPr>
          <w:rFonts w:hint="default"/>
          <w:color w:val="auto"/>
          <w:sz w:val="24"/>
          <w:highlight w:val="none"/>
          <w:lang w:val="en-US" w:eastAsia="zh-CN"/>
        </w:rPr>
        <w:t>，价格均包括完成</w:t>
      </w:r>
      <w:r>
        <w:rPr>
          <w:rFonts w:hint="default"/>
          <w:color w:val="auto"/>
          <w:sz w:val="24"/>
          <w:highlight w:val="none"/>
          <w:lang w:val="en-US" w:eastAsia="zh-CN"/>
        </w:rPr>
        <w:t>该工程项目的成本、管理费、利润、规费、税金、安全文明费用、开办费、各项技术措施费、大型机械进退场费、各种风险费、政策性文件规定费用等等所有费用。</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5.</w:t>
      </w:r>
      <w:r>
        <w:rPr>
          <w:rFonts w:hint="default"/>
          <w:color w:val="auto"/>
          <w:sz w:val="24"/>
          <w:highlight w:val="none"/>
          <w:lang w:val="en-US" w:eastAsia="zh-CN"/>
        </w:rPr>
        <w:t>除工程承包人提供交由劳务等分包人管理的设备、设施及材料外的其他设备、设施及材料均由劳务等分包人负责，费用包含在投标报价中；</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6.</w:t>
      </w:r>
      <w:r>
        <w:rPr>
          <w:rFonts w:hint="default"/>
          <w:color w:val="auto"/>
          <w:sz w:val="24"/>
          <w:highlight w:val="none"/>
          <w:lang w:val="en-US" w:eastAsia="zh-CN"/>
        </w:rPr>
        <w:t>劳务等分包人搭设</w:t>
      </w:r>
      <w:r>
        <w:rPr>
          <w:rFonts w:hint="eastAsia"/>
          <w:color w:val="auto"/>
          <w:sz w:val="24"/>
          <w:highlight w:val="none"/>
          <w:lang w:val="en-US" w:eastAsia="zh-CN"/>
        </w:rPr>
        <w:t>或租赁的</w:t>
      </w:r>
      <w:r>
        <w:rPr>
          <w:rFonts w:hint="default"/>
          <w:color w:val="auto"/>
          <w:sz w:val="24"/>
          <w:highlight w:val="none"/>
          <w:lang w:val="en-US" w:eastAsia="zh-CN"/>
        </w:rPr>
        <w:t>临时设施时应包括向工程承包人、业主或业主指派的监理人、跟踪审计单位提供保证基本办公生活条件场所。</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7.</w:t>
      </w:r>
      <w:r>
        <w:rPr>
          <w:rFonts w:hint="default"/>
          <w:color w:val="auto"/>
          <w:sz w:val="24"/>
          <w:highlight w:val="none"/>
          <w:lang w:val="en-US" w:eastAsia="zh-CN"/>
        </w:rPr>
        <w:t xml:space="preserve">施工所需的场内临时道路和交通设施的修建、维护、养护和管理由劳务等分包人负责，并承担相关费用。 </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8.</w:t>
      </w:r>
      <w:r>
        <w:rPr>
          <w:rFonts w:hint="default"/>
          <w:color w:val="auto"/>
          <w:sz w:val="24"/>
          <w:highlight w:val="none"/>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9.</w:t>
      </w:r>
      <w:r>
        <w:rPr>
          <w:rFonts w:hint="default"/>
          <w:color w:val="auto"/>
          <w:sz w:val="24"/>
          <w:highlight w:val="none"/>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10.</w:t>
      </w:r>
      <w:r>
        <w:rPr>
          <w:rFonts w:hint="default"/>
          <w:color w:val="auto"/>
          <w:sz w:val="24"/>
          <w:highlight w:val="none"/>
          <w:lang w:val="en-US" w:eastAsia="zh-CN"/>
        </w:rPr>
        <w:t>本项目劳务等分包人必须配合工程承包人发包的专业工程</w:t>
      </w:r>
      <w:r>
        <w:rPr>
          <w:rFonts w:hint="eastAsia"/>
          <w:color w:val="auto"/>
          <w:sz w:val="24"/>
          <w:highlight w:val="none"/>
          <w:lang w:val="en-US" w:eastAsia="zh-CN"/>
        </w:rPr>
        <w:t>门窗工程</w:t>
      </w:r>
      <w:r>
        <w:rPr>
          <w:rFonts w:hint="default"/>
          <w:color w:val="auto"/>
          <w:sz w:val="24"/>
          <w:highlight w:val="none"/>
          <w:lang w:val="en-US" w:eastAsia="zh-CN"/>
        </w:rPr>
        <w:t>等工程在施工过程中实施，并承诺不收取超成本的配合费</w:t>
      </w:r>
      <w:r>
        <w:rPr>
          <w:rFonts w:hint="eastAsia"/>
          <w:color w:val="auto"/>
          <w:sz w:val="24"/>
          <w:highlight w:val="none"/>
          <w:lang w:val="en-US" w:eastAsia="zh-CN"/>
        </w:rPr>
        <w:t>，并坚决服从工程承包人的指挥</w:t>
      </w:r>
      <w:r>
        <w:rPr>
          <w:rFonts w:hint="default"/>
          <w:color w:val="auto"/>
          <w:sz w:val="24"/>
          <w:highlight w:val="none"/>
          <w:lang w:val="en-US" w:eastAsia="zh-CN"/>
        </w:rPr>
        <w:t>。</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11.</w:t>
      </w:r>
      <w:r>
        <w:rPr>
          <w:rFonts w:hint="default"/>
          <w:color w:val="auto"/>
          <w:sz w:val="24"/>
          <w:highlight w:val="none"/>
          <w:lang w:val="en-US" w:eastAsia="zh-CN"/>
        </w:rPr>
        <w:t>工程量清单中载明的项目，劳务等分包人在施工时出现遗漏的项目时，按照相关计量、计价规则属于应计费的项目，按实结算。</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12.</w:t>
      </w:r>
      <w:r>
        <w:rPr>
          <w:rFonts w:hint="default"/>
          <w:color w:val="auto"/>
          <w:sz w:val="24"/>
          <w:highlight w:val="none"/>
          <w:lang w:val="en-US" w:eastAsia="zh-CN"/>
        </w:rPr>
        <w:t>因特殊原因造成工期延长或为保证质量安全而必须采取分段施工所发生的所有费用应向工程承包人提出书面请示、编制专项方案、经同意后方可实施，并获得工期及</w:t>
      </w:r>
      <w:r>
        <w:rPr>
          <w:rFonts w:hint="default"/>
          <w:color w:val="auto"/>
          <w:sz w:val="24"/>
          <w:highlight w:val="none"/>
          <w:lang w:val="en-US" w:eastAsia="zh-CN"/>
        </w:rPr>
        <w:t xml:space="preserve">费用的补偿。 </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13.</w:t>
      </w:r>
      <w:r>
        <w:rPr>
          <w:rFonts w:hint="default"/>
          <w:color w:val="auto"/>
          <w:sz w:val="24"/>
          <w:highlight w:val="none"/>
          <w:lang w:val="en-US" w:eastAsia="zh-CN"/>
        </w:rPr>
        <w:t>劳务等分包人承诺人员证书应为中标单位社保人员，在本项目施工期间（竣工验收合格止）不得用于其他项目压（锁）证，若发现用于其他项目，劳务等分包人承诺以10万元/人.次向</w:t>
      </w:r>
      <w:r>
        <w:rPr>
          <w:rFonts w:hint="eastAsia"/>
          <w:color w:val="auto"/>
          <w:sz w:val="24"/>
          <w:highlight w:val="none"/>
          <w:lang w:val="en-US" w:eastAsia="zh-CN"/>
        </w:rPr>
        <w:t>工程承包人</w:t>
      </w:r>
      <w:r>
        <w:rPr>
          <w:rFonts w:hint="default"/>
          <w:color w:val="auto"/>
          <w:sz w:val="24"/>
          <w:highlight w:val="none"/>
          <w:lang w:val="en-US" w:eastAsia="zh-CN"/>
        </w:rPr>
        <w:t>缴纳违约金。</w:t>
      </w:r>
    </w:p>
    <w:p>
      <w:pPr>
        <w:spacing w:line="360" w:lineRule="auto"/>
        <w:ind w:firstLine="480" w:firstLineChars="200"/>
        <w:rPr>
          <w:rFonts w:hint="eastAsia" w:ascii="宋体" w:hAnsi="宋体" w:eastAsia="宋体" w:cs="宋体"/>
          <w:color w:val="auto"/>
          <w:sz w:val="24"/>
          <w:highlight w:val="none"/>
        </w:rPr>
      </w:pPr>
      <w:r>
        <w:rPr>
          <w:rFonts w:hint="eastAsia"/>
          <w:color w:val="auto"/>
          <w:sz w:val="24"/>
          <w:highlight w:val="none"/>
          <w:lang w:val="en-US" w:eastAsia="zh-CN"/>
        </w:rPr>
        <w:t>14.</w:t>
      </w:r>
      <w:r>
        <w:rPr>
          <w:rFonts w:hint="default"/>
          <w:color w:val="auto"/>
          <w:sz w:val="24"/>
          <w:highlight w:val="none"/>
          <w:lang w:val="en-US" w:eastAsia="zh-CN"/>
        </w:rPr>
        <w:t>劳务等分包人应按泸州市主管部门要求搭设实名通道并做好防尘监测和记录。</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：职业健康、安全文明施工协议</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：保障农民工工资承诺书</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工程承包人供应材料、设备、构配件计划</w:t>
      </w:r>
    </w:p>
    <w:p>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附件四：专业工程暂估价表</w:t>
      </w:r>
    </w:p>
    <w:p>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附件五：工程质量保修承诺书</w:t>
      </w:r>
    </w:p>
    <w:p>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以下无正文</w:t>
      </w:r>
      <w:r>
        <w:rPr>
          <w:rFonts w:hint="eastAsia" w:ascii="宋体" w:hAnsi="宋体" w:eastAsia="宋体" w:cs="宋体"/>
          <w:color w:val="auto"/>
          <w:kern w:val="2"/>
          <w:sz w:val="24"/>
          <w:szCs w:val="24"/>
          <w:highlight w:val="none"/>
          <w:lang w:val="en-US"/>
        </w:rPr>
        <w:t>）</w:t>
      </w:r>
    </w:p>
    <w:p>
      <w:pPr>
        <w:pStyle w:val="2"/>
        <w:rPr>
          <w:rFonts w:hint="eastAsia"/>
          <w:color w:val="auto"/>
          <w:highlight w:val="none"/>
          <w:lang w:eastAsia="zh-CN"/>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500" w:lineRule="exact"/>
        <w:jc w:val="left"/>
        <w:rPr>
          <w:rFonts w:hint="eastAsia" w:ascii="宋体" w:hAnsi="宋体" w:eastAsia="宋体" w:cs="宋体"/>
          <w:color w:val="auto"/>
          <w:sz w:val="24"/>
          <w:highlight w:val="none"/>
        </w:rPr>
        <w:sectPr>
          <w:footerReference r:id="rId14" w:type="default"/>
          <w:pgSz w:w="11906" w:h="16838"/>
          <w:pgMar w:top="1440" w:right="1417" w:bottom="1440" w:left="1417" w:header="851" w:footer="992" w:gutter="0"/>
          <w:pgNumType w:fmt="decimal"/>
          <w:cols w:space="720" w:num="1"/>
          <w:docGrid w:type="lines" w:linePitch="312" w:charSpace="0"/>
        </w:sect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（工程承包人）：泸州兴阳建川实业有限公司</w:t>
      </w:r>
    </w:p>
    <w:p>
      <w:pPr>
        <w:spacing w:after="156" w:afterLines="50"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（劳务等分包人/专业分包）：</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                                     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建立健全分包工程施工安全管理组织机构，严格执行国家安全生产法律、法规、标准、安全生产规章制度，落实安全生产责任制、事故防范措施和应急处理。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r>
        <w:rPr>
          <w:rFonts w:hint="eastAsia" w:ascii="宋体" w:hAnsi="宋体" w:cs="宋体"/>
          <w:color w:val="auto"/>
          <w:sz w:val="24"/>
          <w:highlight w:val="none"/>
          <w:lang w:eastAsia="zh-CN"/>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进入施工现场的设备、设施进行安全检查，对不符合安全要求的设备设施有权拒接进入施工现场。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管理人员的能力和水平做出评价，对于不能胜任的管理人员，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11.有权将对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违约责任而解除合同要求。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1.认真贯彻落实国家有关安全生产法律、法规和标准以及相关安全生产规章制度、安全操作规程，落实事故防范措施。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作业人员进行安全教育，对特种作业人员备案检查，杜绝无证上岗。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编制的安全技术方案/措施，并对其控制措施的实施情况进行监督检查。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如实告知施工作业可能涉及的职业健康危害和防护措施。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提出对施工现场所涉及的文物、地方政府对是施工现场周边环境保护的要求。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8.其他根据项目要求应尽的义务。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冒险作业行为，有权拒绝执行。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有权采取必要的避险措施。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1.认真贯彻落实国家有关安全生产法律、法规和标准以及执行安全生产规章制度、安全操作规程，落实事故防范措施。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实现以下安全目标：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——不发生人身死亡及以上的责任事故；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必须建立生产安全控制指标体系，对以下事故进行控制：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须保其员工（包括劳务工，下同）的基本素质满足以下要求：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应依法法律、法规及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现场的施工机械、施工机具和施工作业材料的安全性负责，禁止使用根据国家标准应予予以淘汰的设备、材料和机具。</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应严格遵守《施工现场临时用电安全技术规范》规定。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应参照国家关于事故的标准，建立事故快速报告制度，即在事件、事故发生后，</w:t>
      </w:r>
      <w:r>
        <w:rPr>
          <w:rFonts w:hint="eastAsia" w:ascii="宋体" w:hAnsi="宋体" w:cs="宋体"/>
          <w:color w:val="auto"/>
          <w:sz w:val="24"/>
          <w:highlight w:val="none"/>
          <w:lang w:val="en-US" w:eastAsia="zh-CN"/>
        </w:rPr>
        <w:t>按照安全生产相关法律法规的要求</w:t>
      </w:r>
      <w:r>
        <w:rPr>
          <w:rFonts w:hint="eastAsia" w:ascii="宋体" w:hAnsi="宋体" w:eastAsia="宋体" w:cs="宋体"/>
          <w:color w:val="auto"/>
          <w:sz w:val="24"/>
          <w:highlight w:val="none"/>
        </w:rPr>
        <w:t>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负责购买所使用的临时劳务工的工伤保险。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1.发生事故时，甲乙双方有抢险、救灾的义务，所发生的费用由事故责任方承担。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承担责任及经济损失。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承担责任及其经济损失，并按规定追究有关人员的责任并报告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工程质量、购买材料的质量原因导致的事故，由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发生事故后弄虚作假、隐瞒不报、迟报或谎报，一经查出，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应按有关规定向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承担相应损失。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不接受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安全教育，不服从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现场安全管理，不按规定使用劳动防护用品，违章指挥、违章作业、违反劳动纪律而造成的事故和事件，由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承担责任以及全部经济损失，同时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在施工中发生人身伤亡、火灾、爆炸、设备等事故，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管理规定的要求进行经济违约处罚。发生影响恶劣事故的，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有权单方面解除本合同。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在施工过程中，如果因职业健康、文明施工和环境保护问题受上级主管部门处罚一次，则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w:t>
      </w:r>
      <w:r>
        <w:rPr>
          <w:rFonts w:hint="eastAsia" w:ascii="宋体" w:hAnsi="宋体" w:eastAsia="宋体" w:cs="宋体"/>
          <w:b w:val="0"/>
          <w:bCs w:val="0"/>
          <w:color w:val="auto"/>
          <w:sz w:val="24"/>
          <w:szCs w:val="24"/>
          <w:highlight w:val="none"/>
        </w:rPr>
        <w:t>双方法定代表人或授权代表人</w:t>
      </w:r>
      <w:r>
        <w:rPr>
          <w:rFonts w:hint="eastAsia" w:ascii="宋体" w:hAnsi="宋体" w:eastAsia="宋体" w:cs="宋体"/>
          <w:b w:val="0"/>
          <w:bCs w:val="0"/>
          <w:color w:val="auto"/>
          <w:sz w:val="24"/>
          <w:szCs w:val="24"/>
          <w:highlight w:val="none"/>
          <w:lang w:val="en-US" w:eastAsia="zh-CN"/>
        </w:rPr>
        <w:t>签字或</w:t>
      </w:r>
      <w:r>
        <w:rPr>
          <w:rFonts w:hint="eastAsia" w:ascii="宋体" w:hAnsi="宋体" w:eastAsia="宋体" w:cs="宋体"/>
          <w:b w:val="0"/>
          <w:bCs w:val="0"/>
          <w:color w:val="auto"/>
          <w:sz w:val="24"/>
          <w:szCs w:val="24"/>
          <w:highlight w:val="none"/>
        </w:rPr>
        <w:t>签章并加盖公司</w:t>
      </w:r>
      <w:r>
        <w:rPr>
          <w:rFonts w:hint="eastAsia" w:ascii="宋体" w:hAnsi="宋体" w:eastAsia="宋体" w:cs="宋体"/>
          <w:b w:val="0"/>
          <w:bCs w:val="0"/>
          <w:color w:val="auto"/>
          <w:sz w:val="24"/>
          <w:szCs w:val="24"/>
          <w:highlight w:val="none"/>
          <w:lang w:val="en-US" w:eastAsia="zh-CN"/>
        </w:rPr>
        <w:t>公章</w:t>
      </w:r>
      <w:r>
        <w:rPr>
          <w:rFonts w:hint="eastAsia" w:ascii="宋体" w:hAnsi="宋体" w:eastAsia="宋体" w:cs="宋体"/>
          <w:b w:val="0"/>
          <w:bCs w:val="0"/>
          <w:color w:val="auto"/>
          <w:sz w:val="24"/>
          <w:szCs w:val="24"/>
          <w:highlight w:val="none"/>
        </w:rPr>
        <w:t>（或合同章）后生效</w:t>
      </w:r>
      <w:r>
        <w:rPr>
          <w:rFonts w:hint="eastAsia" w:ascii="宋体" w:hAnsi="宋体" w:eastAsia="宋体" w:cs="宋体"/>
          <w:color w:val="auto"/>
          <w:sz w:val="24"/>
          <w:highlight w:val="none"/>
        </w:rPr>
        <w:t>，与工程合同具有同等法律效力，同时生效，同时终止。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pPr>
        <w:spacing w:line="500" w:lineRule="exact"/>
        <w:jc w:val="left"/>
        <w:rPr>
          <w:rFonts w:hint="eastAsia" w:ascii="宋体" w:hAnsi="宋体" w:eastAsia="宋体" w:cs="宋体"/>
          <w:color w:val="auto"/>
          <w:sz w:val="24"/>
          <w:highlight w:val="none"/>
        </w:rPr>
      </w:pPr>
    </w:p>
    <w:p>
      <w:pPr>
        <w:pStyle w:val="2"/>
        <w:rPr>
          <w:rFonts w:hint="eastAsia"/>
          <w:color w:val="auto"/>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Pr>
        <w:spacing w:line="500" w:lineRule="exact"/>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color w:val="auto"/>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pPr>
        <w:pStyle w:val="3"/>
        <w:outlineLvl w:val="9"/>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bookmarkStart w:id="128" w:name="_Toc19276"/>
      <w:r>
        <w:rPr>
          <w:rFonts w:hint="eastAsia" w:ascii="宋体" w:hAnsi="宋体" w:eastAsia="宋体" w:cs="宋体"/>
          <w:color w:val="auto"/>
          <w:sz w:val="24"/>
          <w:highlight w:val="none"/>
        </w:rPr>
        <w:t>致：</w:t>
      </w:r>
      <w:bookmarkEnd w:id="128"/>
      <w:r>
        <w:rPr>
          <w:rFonts w:hint="eastAsia" w:ascii="宋体" w:hAnsi="宋体" w:eastAsia="宋体" w:cs="宋体"/>
          <w:color w:val="auto"/>
          <w:sz w:val="24"/>
          <w:highlight w:val="none"/>
        </w:rPr>
        <w:t>泸州兴阳建川实业有限公司</w:t>
      </w:r>
    </w:p>
    <w:p>
      <w:pPr>
        <w:spacing w:line="360" w:lineRule="auto"/>
        <w:ind w:firstLine="480" w:firstLineChars="200"/>
        <w:rPr>
          <w:rFonts w:hint="eastAsia" w:ascii="宋体" w:hAnsi="宋体" w:eastAsia="宋体" w:cs="宋体"/>
          <w:color w:val="auto"/>
          <w:sz w:val="24"/>
          <w:highlight w:val="none"/>
        </w:rPr>
      </w:pPr>
      <w:bookmarkStart w:id="129"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劳务等分包</w:t>
      </w:r>
      <w:r>
        <w:rPr>
          <w:rFonts w:hint="eastAsia" w:ascii="宋体" w:hAnsi="宋体" w:eastAsia="宋体" w:cs="宋体"/>
          <w:color w:val="auto"/>
          <w:sz w:val="24"/>
          <w:highlight w:val="none"/>
        </w:rPr>
        <w:t>，郑重承诺：</w:t>
      </w:r>
      <w:bookmarkEnd w:id="129"/>
    </w:p>
    <w:p>
      <w:pPr>
        <w:spacing w:line="360" w:lineRule="auto"/>
        <w:ind w:firstLine="480" w:firstLineChars="200"/>
        <w:rPr>
          <w:rFonts w:hint="eastAsia" w:ascii="宋体" w:hAnsi="宋体" w:eastAsia="宋体" w:cs="宋体"/>
          <w:color w:val="auto"/>
          <w:sz w:val="24"/>
          <w:highlight w:val="none"/>
        </w:rPr>
      </w:pPr>
      <w:bookmarkStart w:id="130" w:name="_Toc15716"/>
      <w:r>
        <w:rPr>
          <w:rFonts w:hint="eastAsia" w:ascii="宋体" w:hAnsi="宋体" w:eastAsia="宋体" w:cs="宋体"/>
          <w:color w:val="auto"/>
          <w:sz w:val="24"/>
          <w:highlight w:val="none"/>
        </w:rPr>
        <w:t>1.严格遵守《劳动法》《保证农民工工资支付条例》等国家和地方关于农民工用工及工资支付的有关规定。</w:t>
      </w:r>
      <w:bookmarkEnd w:id="130"/>
    </w:p>
    <w:p>
      <w:pPr>
        <w:spacing w:line="360" w:lineRule="auto"/>
        <w:ind w:firstLine="480" w:firstLineChars="200"/>
        <w:rPr>
          <w:rFonts w:hint="eastAsia" w:ascii="宋体" w:hAnsi="宋体" w:eastAsia="宋体" w:cs="宋体"/>
          <w:color w:val="auto"/>
          <w:sz w:val="24"/>
          <w:highlight w:val="none"/>
        </w:rPr>
      </w:pPr>
      <w:bookmarkStart w:id="131"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131"/>
    </w:p>
    <w:p>
      <w:pPr>
        <w:spacing w:line="360" w:lineRule="auto"/>
        <w:ind w:firstLine="480" w:firstLineChars="200"/>
        <w:rPr>
          <w:rFonts w:hint="eastAsia" w:ascii="宋体" w:hAnsi="宋体" w:eastAsia="宋体" w:cs="宋体"/>
          <w:color w:val="auto"/>
          <w:sz w:val="24"/>
          <w:highlight w:val="none"/>
        </w:rPr>
      </w:pPr>
      <w:bookmarkStart w:id="132"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132"/>
    </w:p>
    <w:p>
      <w:pPr>
        <w:spacing w:line="360" w:lineRule="auto"/>
        <w:ind w:firstLine="480" w:firstLineChars="200"/>
        <w:rPr>
          <w:rFonts w:hint="eastAsia" w:ascii="宋体" w:hAnsi="宋体" w:eastAsia="宋体" w:cs="宋体"/>
          <w:color w:val="auto"/>
          <w:sz w:val="24"/>
          <w:highlight w:val="none"/>
        </w:rPr>
      </w:pPr>
      <w:bookmarkStart w:id="133"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133"/>
    </w:p>
    <w:p>
      <w:pPr>
        <w:spacing w:line="360" w:lineRule="auto"/>
        <w:ind w:firstLine="480" w:firstLineChars="200"/>
        <w:rPr>
          <w:rFonts w:hint="eastAsia" w:ascii="宋体" w:hAnsi="宋体" w:eastAsia="宋体" w:cs="宋体"/>
          <w:color w:val="auto"/>
          <w:sz w:val="24"/>
          <w:highlight w:val="none"/>
        </w:rPr>
      </w:pPr>
      <w:bookmarkStart w:id="134"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134"/>
    </w:p>
    <w:p>
      <w:pPr>
        <w:spacing w:line="360" w:lineRule="auto"/>
        <w:ind w:firstLine="480" w:firstLineChars="200"/>
        <w:rPr>
          <w:rFonts w:hint="eastAsia" w:ascii="宋体" w:hAnsi="宋体" w:eastAsia="宋体" w:cs="宋体"/>
          <w:color w:val="auto"/>
          <w:sz w:val="24"/>
          <w:highlight w:val="none"/>
        </w:rPr>
      </w:pPr>
      <w:bookmarkStart w:id="135"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135"/>
    </w:p>
    <w:p>
      <w:pPr>
        <w:spacing w:line="360" w:lineRule="auto"/>
        <w:ind w:firstLine="480" w:firstLineChars="200"/>
        <w:rPr>
          <w:rFonts w:hint="eastAsia" w:ascii="宋体" w:hAnsi="宋体" w:eastAsia="宋体" w:cs="宋体"/>
          <w:color w:val="auto"/>
          <w:sz w:val="24"/>
          <w:highlight w:val="none"/>
        </w:rPr>
      </w:pPr>
      <w:bookmarkStart w:id="136" w:name="_Toc14880"/>
      <w:r>
        <w:rPr>
          <w:rFonts w:hint="eastAsia" w:ascii="宋体" w:hAnsi="宋体" w:eastAsia="宋体" w:cs="宋体"/>
          <w:color w:val="auto"/>
          <w:sz w:val="24"/>
          <w:highlight w:val="none"/>
        </w:rPr>
        <w:t>7.若发生拖欠或克扣民工工资行为造成民工讨薪、上访等事件，本公司愿意接收相关部门处罚，并配合解决。</w:t>
      </w:r>
      <w:bookmarkEnd w:id="136"/>
    </w:p>
    <w:p>
      <w:pPr>
        <w:pStyle w:val="3"/>
        <w:spacing w:line="360" w:lineRule="auto"/>
        <w:ind w:left="0"/>
        <w:outlineLvl w:val="9"/>
        <w:rPr>
          <w:rFonts w:hint="eastAsia" w:ascii="宋体" w:hAnsi="宋体" w:eastAsia="宋体" w:cs="宋体"/>
          <w:color w:val="auto"/>
          <w:sz w:val="24"/>
          <w:szCs w:val="24"/>
          <w:highlight w:val="none"/>
        </w:rPr>
      </w:pPr>
      <w:bookmarkStart w:id="137" w:name="_Toc28797"/>
    </w:p>
    <w:p>
      <w:pPr>
        <w:pStyle w:val="3"/>
        <w:spacing w:line="360" w:lineRule="auto"/>
        <w:ind w:left="0"/>
        <w:outlineLvl w:val="9"/>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137"/>
    </w:p>
    <w:p>
      <w:pPr>
        <w:spacing w:line="360" w:lineRule="auto"/>
        <w:ind w:firstLine="480" w:firstLineChars="200"/>
        <w:rPr>
          <w:rFonts w:hint="eastAsia" w:ascii="宋体" w:hAnsi="宋体" w:eastAsia="宋体" w:cs="宋体"/>
          <w:color w:val="auto"/>
          <w:sz w:val="24"/>
          <w:highlight w:val="none"/>
        </w:rPr>
      </w:pPr>
      <w:bookmarkStart w:id="138" w:name="_Toc14055"/>
      <w:r>
        <w:rPr>
          <w:rFonts w:hint="eastAsia" w:ascii="宋体" w:hAnsi="宋体" w:eastAsia="宋体" w:cs="宋体"/>
          <w:color w:val="auto"/>
          <w:sz w:val="24"/>
          <w:highlight w:val="none"/>
        </w:rPr>
        <w:t>法定代表人或委托代理人：</w:t>
      </w:r>
      <w:bookmarkEnd w:id="138"/>
    </w:p>
    <w:p>
      <w:pPr>
        <w:spacing w:line="360" w:lineRule="auto"/>
        <w:ind w:firstLine="480" w:firstLineChars="200"/>
        <w:rPr>
          <w:rFonts w:hint="eastAsia" w:ascii="宋体" w:hAnsi="宋体" w:eastAsia="宋体" w:cs="宋体"/>
          <w:color w:val="auto"/>
          <w:sz w:val="24"/>
          <w:highlight w:val="none"/>
        </w:rPr>
      </w:pPr>
      <w:bookmarkStart w:id="139" w:name="_Toc14740"/>
      <w:r>
        <w:rPr>
          <w:rFonts w:hint="eastAsia" w:ascii="宋体" w:hAnsi="宋体" w:eastAsia="宋体" w:cs="宋体"/>
          <w:color w:val="auto"/>
          <w:sz w:val="24"/>
          <w:highlight w:val="none"/>
        </w:rPr>
        <w:t>承诺时间：</w:t>
      </w:r>
      <w:bookmarkEnd w:id="139"/>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420" w:lineRule="exact"/>
        <w:ind w:firstLine="420"/>
        <w:rPr>
          <w:rFonts w:hint="eastAsia" w:ascii="宋体" w:hAnsi="宋体" w:eastAsia="宋体" w:cs="宋体"/>
          <w:color w:val="auto"/>
          <w:sz w:val="24"/>
          <w:szCs w:val="24"/>
          <w:highlight w:val="none"/>
        </w:rPr>
      </w:pPr>
    </w:p>
    <w:p>
      <w:pPr>
        <w:spacing w:line="420" w:lineRule="exact"/>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w:t>
      </w:r>
    </w:p>
    <w:p>
      <w:pPr>
        <w:spacing w:line="420" w:lineRule="exact"/>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工程承包人供应材料、设备、构配件计划</w:t>
      </w:r>
    </w:p>
    <w:tbl>
      <w:tblPr>
        <w:tblStyle w:val="21"/>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844"/>
        <w:gridCol w:w="1875"/>
        <w:gridCol w:w="412"/>
        <w:gridCol w:w="500"/>
        <w:gridCol w:w="438"/>
        <w:gridCol w:w="700"/>
        <w:gridCol w:w="775"/>
        <w:gridCol w:w="86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44"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品种</w:t>
            </w:r>
          </w:p>
        </w:tc>
        <w:tc>
          <w:tcPr>
            <w:tcW w:w="1875"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412"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00"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38"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700"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质量等级</w:t>
            </w:r>
          </w:p>
        </w:tc>
        <w:tc>
          <w:tcPr>
            <w:tcW w:w="775"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供应时间</w:t>
            </w:r>
          </w:p>
        </w:tc>
        <w:tc>
          <w:tcPr>
            <w:tcW w:w="862"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送达地点</w:t>
            </w:r>
          </w:p>
        </w:tc>
        <w:tc>
          <w:tcPr>
            <w:tcW w:w="1132" w:type="dxa"/>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7" w:type="dxa"/>
          </w:tcPr>
          <w:p>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844"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875" w:type="dxa"/>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412" w:type="dxa"/>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500" w:type="dxa"/>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438" w:type="dxa"/>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700" w:type="dxa"/>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775" w:type="dxa"/>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862" w:type="dxa"/>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32" w:type="dxa"/>
          </w:tcPr>
          <w:p>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77" w:type="dxa"/>
            <w:vAlign w:val="center"/>
          </w:tcPr>
          <w:p>
            <w:pPr>
              <w:spacing w:line="420" w:lineRule="exact"/>
              <w:jc w:val="center"/>
              <w:rPr>
                <w:rFonts w:hint="eastAsia" w:ascii="宋体" w:hAnsi="宋体" w:eastAsia="宋体" w:cs="宋体"/>
                <w:color w:val="auto"/>
                <w:sz w:val="24"/>
                <w:szCs w:val="24"/>
                <w:highlight w:val="none"/>
                <w:lang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eastAsia="zh-CN"/>
              </w:rPr>
            </w:pPr>
          </w:p>
        </w:tc>
        <w:tc>
          <w:tcPr>
            <w:tcW w:w="1875" w:type="dxa"/>
            <w:vAlign w:val="center"/>
          </w:tcPr>
          <w:p>
            <w:pPr>
              <w:spacing w:line="420" w:lineRule="exact"/>
              <w:jc w:val="center"/>
              <w:rPr>
                <w:rFonts w:hint="eastAsia" w:ascii="宋体" w:hAnsi="宋体" w:eastAsia="宋体" w:cs="宋体"/>
                <w:color w:val="auto"/>
                <w:sz w:val="24"/>
                <w:szCs w:val="24"/>
                <w:highlight w:val="none"/>
              </w:rPr>
            </w:pPr>
          </w:p>
        </w:tc>
        <w:tc>
          <w:tcPr>
            <w:tcW w:w="412" w:type="dxa"/>
            <w:vAlign w:val="center"/>
          </w:tcPr>
          <w:p>
            <w:pPr>
              <w:spacing w:line="420" w:lineRule="exact"/>
              <w:jc w:val="center"/>
              <w:rPr>
                <w:rFonts w:hint="eastAsia" w:ascii="宋体" w:hAnsi="宋体" w:eastAsia="宋体" w:cs="宋体"/>
                <w:color w:val="auto"/>
                <w:sz w:val="24"/>
                <w:szCs w:val="24"/>
                <w:highlight w:val="none"/>
              </w:rPr>
            </w:pPr>
          </w:p>
        </w:tc>
        <w:tc>
          <w:tcPr>
            <w:tcW w:w="500" w:type="dxa"/>
            <w:vAlign w:val="center"/>
          </w:tcPr>
          <w:p>
            <w:pPr>
              <w:spacing w:line="420" w:lineRule="exact"/>
              <w:jc w:val="center"/>
              <w:rPr>
                <w:rFonts w:hint="eastAsia" w:ascii="宋体" w:hAnsi="宋体" w:eastAsia="宋体" w:cs="宋体"/>
                <w:color w:val="auto"/>
                <w:sz w:val="24"/>
                <w:szCs w:val="24"/>
                <w:highlight w:val="none"/>
              </w:rPr>
            </w:pPr>
          </w:p>
        </w:tc>
        <w:tc>
          <w:tcPr>
            <w:tcW w:w="438" w:type="dxa"/>
            <w:vAlign w:val="center"/>
          </w:tcPr>
          <w:p>
            <w:pPr>
              <w:spacing w:line="420" w:lineRule="exact"/>
              <w:jc w:val="center"/>
              <w:rPr>
                <w:rFonts w:hint="eastAsia" w:ascii="宋体" w:hAnsi="宋体" w:eastAsia="宋体" w:cs="宋体"/>
                <w:color w:val="auto"/>
                <w:sz w:val="24"/>
                <w:szCs w:val="24"/>
                <w:highlight w:val="none"/>
              </w:rPr>
            </w:pPr>
          </w:p>
        </w:tc>
        <w:tc>
          <w:tcPr>
            <w:tcW w:w="700" w:type="dxa"/>
            <w:vAlign w:val="center"/>
          </w:tcPr>
          <w:p>
            <w:pPr>
              <w:spacing w:line="420" w:lineRule="exact"/>
              <w:jc w:val="center"/>
              <w:rPr>
                <w:rFonts w:hint="eastAsia" w:ascii="宋体" w:hAnsi="宋体" w:eastAsia="宋体" w:cs="宋体"/>
                <w:color w:val="auto"/>
                <w:sz w:val="24"/>
                <w:szCs w:val="24"/>
                <w:highlight w:val="none"/>
              </w:rPr>
            </w:pPr>
          </w:p>
        </w:tc>
        <w:tc>
          <w:tcPr>
            <w:tcW w:w="775" w:type="dxa"/>
            <w:vAlign w:val="center"/>
          </w:tcPr>
          <w:p>
            <w:pPr>
              <w:spacing w:line="420" w:lineRule="exact"/>
              <w:jc w:val="center"/>
              <w:rPr>
                <w:rFonts w:hint="eastAsia" w:ascii="宋体" w:hAnsi="宋体" w:eastAsia="宋体" w:cs="宋体"/>
                <w:color w:val="auto"/>
                <w:sz w:val="24"/>
                <w:szCs w:val="24"/>
                <w:highlight w:val="none"/>
              </w:rPr>
            </w:pPr>
          </w:p>
        </w:tc>
        <w:tc>
          <w:tcPr>
            <w:tcW w:w="862" w:type="dxa"/>
            <w:vAlign w:val="center"/>
          </w:tcPr>
          <w:p>
            <w:pPr>
              <w:spacing w:line="420" w:lineRule="exact"/>
              <w:jc w:val="center"/>
              <w:rPr>
                <w:rFonts w:hint="eastAsia" w:ascii="宋体" w:hAnsi="宋体" w:eastAsia="宋体" w:cs="宋体"/>
                <w:color w:val="auto"/>
                <w:sz w:val="24"/>
                <w:szCs w:val="24"/>
                <w:highlight w:val="none"/>
              </w:rPr>
            </w:pPr>
          </w:p>
        </w:tc>
        <w:tc>
          <w:tcPr>
            <w:tcW w:w="1132" w:type="dxa"/>
            <w:vAlign w:val="center"/>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color w:val="auto"/>
                <w:sz w:val="24"/>
                <w:szCs w:val="24"/>
                <w:highlight w:val="none"/>
                <w:lang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rPr>
            </w:pPr>
          </w:p>
        </w:tc>
        <w:tc>
          <w:tcPr>
            <w:tcW w:w="1875" w:type="dxa"/>
          </w:tcPr>
          <w:p>
            <w:pPr>
              <w:spacing w:line="420" w:lineRule="exact"/>
              <w:jc w:val="center"/>
              <w:rPr>
                <w:rFonts w:hint="eastAsia" w:ascii="宋体" w:hAnsi="宋体" w:eastAsia="宋体" w:cs="宋体"/>
                <w:color w:val="auto"/>
                <w:sz w:val="24"/>
                <w:szCs w:val="24"/>
                <w:highlight w:val="none"/>
              </w:rPr>
            </w:pPr>
          </w:p>
        </w:tc>
        <w:tc>
          <w:tcPr>
            <w:tcW w:w="412" w:type="dxa"/>
          </w:tcPr>
          <w:p>
            <w:pPr>
              <w:spacing w:line="420" w:lineRule="exact"/>
              <w:jc w:val="center"/>
              <w:rPr>
                <w:rFonts w:hint="eastAsia" w:ascii="宋体" w:hAnsi="宋体" w:eastAsia="宋体" w:cs="宋体"/>
                <w:color w:val="auto"/>
                <w:sz w:val="24"/>
                <w:szCs w:val="24"/>
                <w:highlight w:val="none"/>
              </w:rPr>
            </w:pPr>
          </w:p>
        </w:tc>
        <w:tc>
          <w:tcPr>
            <w:tcW w:w="500" w:type="dxa"/>
          </w:tcPr>
          <w:p>
            <w:pPr>
              <w:spacing w:line="420" w:lineRule="exact"/>
              <w:jc w:val="center"/>
              <w:rPr>
                <w:rFonts w:hint="eastAsia" w:ascii="宋体" w:hAnsi="宋体" w:eastAsia="宋体" w:cs="宋体"/>
                <w:color w:val="auto"/>
                <w:sz w:val="24"/>
                <w:szCs w:val="24"/>
                <w:highlight w:val="none"/>
              </w:rPr>
            </w:pPr>
          </w:p>
        </w:tc>
        <w:tc>
          <w:tcPr>
            <w:tcW w:w="438" w:type="dxa"/>
          </w:tcPr>
          <w:p>
            <w:pPr>
              <w:spacing w:line="420" w:lineRule="exact"/>
              <w:jc w:val="center"/>
              <w:rPr>
                <w:rFonts w:hint="eastAsia" w:ascii="宋体" w:hAnsi="宋体" w:eastAsia="宋体" w:cs="宋体"/>
                <w:color w:val="auto"/>
                <w:sz w:val="24"/>
                <w:szCs w:val="24"/>
                <w:highlight w:val="none"/>
              </w:rPr>
            </w:pPr>
          </w:p>
        </w:tc>
        <w:tc>
          <w:tcPr>
            <w:tcW w:w="700" w:type="dxa"/>
          </w:tcPr>
          <w:p>
            <w:pPr>
              <w:spacing w:line="420" w:lineRule="exact"/>
              <w:jc w:val="center"/>
              <w:rPr>
                <w:rFonts w:hint="eastAsia" w:ascii="宋体" w:hAnsi="宋体" w:eastAsia="宋体" w:cs="宋体"/>
                <w:color w:val="auto"/>
                <w:sz w:val="24"/>
                <w:szCs w:val="24"/>
                <w:highlight w:val="none"/>
              </w:rPr>
            </w:pPr>
          </w:p>
        </w:tc>
        <w:tc>
          <w:tcPr>
            <w:tcW w:w="775" w:type="dxa"/>
          </w:tcPr>
          <w:p>
            <w:pPr>
              <w:spacing w:line="420" w:lineRule="exact"/>
              <w:jc w:val="center"/>
              <w:rPr>
                <w:rFonts w:hint="eastAsia" w:ascii="宋体" w:hAnsi="宋体" w:eastAsia="宋体" w:cs="宋体"/>
                <w:color w:val="auto"/>
                <w:sz w:val="24"/>
                <w:szCs w:val="24"/>
                <w:highlight w:val="none"/>
              </w:rPr>
            </w:pPr>
          </w:p>
        </w:tc>
        <w:tc>
          <w:tcPr>
            <w:tcW w:w="862" w:type="dxa"/>
          </w:tcPr>
          <w:p>
            <w:pPr>
              <w:spacing w:line="420" w:lineRule="exact"/>
              <w:jc w:val="center"/>
              <w:rPr>
                <w:rFonts w:hint="eastAsia" w:ascii="宋体" w:hAnsi="宋体" w:eastAsia="宋体" w:cs="宋体"/>
                <w:color w:val="auto"/>
                <w:sz w:val="24"/>
                <w:szCs w:val="24"/>
                <w:highlight w:val="none"/>
              </w:rPr>
            </w:pPr>
          </w:p>
        </w:tc>
        <w:tc>
          <w:tcPr>
            <w:tcW w:w="1132" w:type="dxa"/>
          </w:tcPr>
          <w:p>
            <w:pPr>
              <w:spacing w:line="420" w:lineRule="exact"/>
              <w:jc w:val="cente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color w:val="auto"/>
                <w:sz w:val="24"/>
                <w:szCs w:val="24"/>
                <w:highlight w:val="none"/>
                <w:lang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p>
        </w:tc>
        <w:tc>
          <w:tcPr>
            <w:tcW w:w="1875" w:type="dxa"/>
          </w:tcPr>
          <w:p>
            <w:pPr>
              <w:spacing w:line="420" w:lineRule="exact"/>
              <w:jc w:val="center"/>
              <w:rPr>
                <w:rFonts w:hint="eastAsia" w:ascii="宋体" w:hAnsi="宋体" w:eastAsia="宋体" w:cs="宋体"/>
                <w:color w:val="auto"/>
                <w:sz w:val="24"/>
                <w:szCs w:val="24"/>
                <w:highlight w:val="none"/>
              </w:rPr>
            </w:pPr>
          </w:p>
        </w:tc>
        <w:tc>
          <w:tcPr>
            <w:tcW w:w="412" w:type="dxa"/>
          </w:tcPr>
          <w:p>
            <w:pPr>
              <w:spacing w:line="420" w:lineRule="exact"/>
              <w:jc w:val="center"/>
              <w:rPr>
                <w:rFonts w:hint="eastAsia" w:ascii="宋体" w:hAnsi="宋体" w:eastAsia="宋体" w:cs="宋体"/>
                <w:color w:val="auto"/>
                <w:sz w:val="24"/>
                <w:szCs w:val="24"/>
                <w:highlight w:val="none"/>
              </w:rPr>
            </w:pPr>
          </w:p>
        </w:tc>
        <w:tc>
          <w:tcPr>
            <w:tcW w:w="500" w:type="dxa"/>
          </w:tcPr>
          <w:p>
            <w:pPr>
              <w:spacing w:line="420" w:lineRule="exact"/>
              <w:jc w:val="center"/>
              <w:rPr>
                <w:rFonts w:hint="eastAsia" w:ascii="宋体" w:hAnsi="宋体" w:eastAsia="宋体" w:cs="宋体"/>
                <w:color w:val="auto"/>
                <w:sz w:val="24"/>
                <w:szCs w:val="24"/>
                <w:highlight w:val="none"/>
              </w:rPr>
            </w:pPr>
          </w:p>
        </w:tc>
        <w:tc>
          <w:tcPr>
            <w:tcW w:w="438" w:type="dxa"/>
          </w:tcPr>
          <w:p>
            <w:pPr>
              <w:spacing w:line="420" w:lineRule="exact"/>
              <w:jc w:val="center"/>
              <w:rPr>
                <w:rFonts w:hint="eastAsia" w:ascii="宋体" w:hAnsi="宋体" w:eastAsia="宋体" w:cs="宋体"/>
                <w:color w:val="auto"/>
                <w:sz w:val="24"/>
                <w:szCs w:val="24"/>
                <w:highlight w:val="none"/>
              </w:rPr>
            </w:pPr>
          </w:p>
        </w:tc>
        <w:tc>
          <w:tcPr>
            <w:tcW w:w="700" w:type="dxa"/>
          </w:tcPr>
          <w:p>
            <w:pPr>
              <w:spacing w:line="420" w:lineRule="exact"/>
              <w:jc w:val="center"/>
              <w:rPr>
                <w:rFonts w:hint="eastAsia" w:ascii="宋体" w:hAnsi="宋体" w:eastAsia="宋体" w:cs="宋体"/>
                <w:color w:val="auto"/>
                <w:sz w:val="24"/>
                <w:szCs w:val="24"/>
                <w:highlight w:val="none"/>
              </w:rPr>
            </w:pPr>
          </w:p>
        </w:tc>
        <w:tc>
          <w:tcPr>
            <w:tcW w:w="775" w:type="dxa"/>
          </w:tcPr>
          <w:p>
            <w:pPr>
              <w:spacing w:line="420" w:lineRule="exact"/>
              <w:jc w:val="center"/>
              <w:rPr>
                <w:rFonts w:hint="eastAsia" w:ascii="宋体" w:hAnsi="宋体" w:eastAsia="宋体" w:cs="宋体"/>
                <w:color w:val="auto"/>
                <w:sz w:val="24"/>
                <w:szCs w:val="24"/>
                <w:highlight w:val="none"/>
              </w:rPr>
            </w:pPr>
          </w:p>
        </w:tc>
        <w:tc>
          <w:tcPr>
            <w:tcW w:w="862" w:type="dxa"/>
          </w:tcPr>
          <w:p>
            <w:pPr>
              <w:spacing w:line="420" w:lineRule="exact"/>
              <w:jc w:val="center"/>
              <w:rPr>
                <w:rFonts w:hint="eastAsia" w:ascii="宋体" w:hAnsi="宋体" w:eastAsia="宋体" w:cs="宋体"/>
                <w:color w:val="auto"/>
                <w:sz w:val="24"/>
                <w:szCs w:val="24"/>
                <w:highlight w:val="none"/>
              </w:rPr>
            </w:pPr>
          </w:p>
        </w:tc>
        <w:tc>
          <w:tcPr>
            <w:tcW w:w="1132" w:type="dxa"/>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color w:val="auto"/>
                <w:sz w:val="24"/>
                <w:szCs w:val="24"/>
                <w:highlight w:val="none"/>
                <w:lang w:val="en-US"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p>
        </w:tc>
        <w:tc>
          <w:tcPr>
            <w:tcW w:w="1875" w:type="dxa"/>
          </w:tcPr>
          <w:p>
            <w:pPr>
              <w:spacing w:line="420" w:lineRule="exact"/>
              <w:jc w:val="center"/>
              <w:rPr>
                <w:rFonts w:hint="eastAsia" w:ascii="宋体" w:hAnsi="宋体" w:eastAsia="宋体" w:cs="宋体"/>
                <w:color w:val="auto"/>
                <w:sz w:val="24"/>
                <w:szCs w:val="24"/>
                <w:highlight w:val="none"/>
              </w:rPr>
            </w:pPr>
          </w:p>
        </w:tc>
        <w:tc>
          <w:tcPr>
            <w:tcW w:w="412" w:type="dxa"/>
          </w:tcPr>
          <w:p>
            <w:pPr>
              <w:spacing w:line="420" w:lineRule="exact"/>
              <w:rPr>
                <w:rFonts w:hint="eastAsia" w:ascii="宋体" w:hAnsi="宋体" w:eastAsia="宋体" w:cs="宋体"/>
                <w:color w:val="auto"/>
                <w:sz w:val="24"/>
                <w:szCs w:val="24"/>
                <w:highlight w:val="none"/>
              </w:rPr>
            </w:pPr>
          </w:p>
        </w:tc>
        <w:tc>
          <w:tcPr>
            <w:tcW w:w="500" w:type="dxa"/>
          </w:tcPr>
          <w:p>
            <w:pPr>
              <w:spacing w:line="420" w:lineRule="exact"/>
              <w:rPr>
                <w:rFonts w:hint="eastAsia" w:ascii="宋体" w:hAnsi="宋体" w:eastAsia="宋体" w:cs="宋体"/>
                <w:color w:val="auto"/>
                <w:sz w:val="24"/>
                <w:szCs w:val="24"/>
                <w:highlight w:val="none"/>
              </w:rPr>
            </w:pPr>
          </w:p>
        </w:tc>
        <w:tc>
          <w:tcPr>
            <w:tcW w:w="438" w:type="dxa"/>
          </w:tcPr>
          <w:p>
            <w:pPr>
              <w:spacing w:line="420" w:lineRule="exact"/>
              <w:rPr>
                <w:rFonts w:hint="eastAsia" w:ascii="宋体" w:hAnsi="宋体" w:eastAsia="宋体" w:cs="宋体"/>
                <w:color w:val="auto"/>
                <w:sz w:val="24"/>
                <w:szCs w:val="24"/>
                <w:highlight w:val="none"/>
              </w:rPr>
            </w:pPr>
          </w:p>
        </w:tc>
        <w:tc>
          <w:tcPr>
            <w:tcW w:w="700" w:type="dxa"/>
          </w:tcPr>
          <w:p>
            <w:pPr>
              <w:spacing w:line="420" w:lineRule="exact"/>
              <w:rPr>
                <w:rFonts w:hint="eastAsia" w:ascii="宋体" w:hAnsi="宋体" w:eastAsia="宋体" w:cs="宋体"/>
                <w:color w:val="auto"/>
                <w:sz w:val="24"/>
                <w:szCs w:val="24"/>
                <w:highlight w:val="none"/>
              </w:rPr>
            </w:pPr>
          </w:p>
        </w:tc>
        <w:tc>
          <w:tcPr>
            <w:tcW w:w="775" w:type="dxa"/>
          </w:tcPr>
          <w:p>
            <w:pPr>
              <w:spacing w:line="420" w:lineRule="exact"/>
              <w:rPr>
                <w:rFonts w:hint="eastAsia" w:ascii="宋体" w:hAnsi="宋体" w:eastAsia="宋体" w:cs="宋体"/>
                <w:color w:val="auto"/>
                <w:sz w:val="24"/>
                <w:szCs w:val="24"/>
                <w:highlight w:val="none"/>
              </w:rPr>
            </w:pPr>
          </w:p>
        </w:tc>
        <w:tc>
          <w:tcPr>
            <w:tcW w:w="862" w:type="dxa"/>
          </w:tcPr>
          <w:p>
            <w:pPr>
              <w:spacing w:line="420" w:lineRule="exact"/>
              <w:rPr>
                <w:rFonts w:hint="eastAsia" w:ascii="宋体" w:hAnsi="宋体" w:eastAsia="宋体" w:cs="宋体"/>
                <w:color w:val="auto"/>
                <w:sz w:val="24"/>
                <w:szCs w:val="24"/>
                <w:highlight w:val="none"/>
              </w:rPr>
            </w:pPr>
          </w:p>
        </w:tc>
        <w:tc>
          <w:tcPr>
            <w:tcW w:w="1132" w:type="dxa"/>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color w:val="auto"/>
                <w:sz w:val="24"/>
                <w:szCs w:val="24"/>
                <w:highlight w:val="none"/>
                <w:lang w:eastAsia="zh-CN"/>
              </w:rPr>
            </w:pPr>
          </w:p>
        </w:tc>
        <w:tc>
          <w:tcPr>
            <w:tcW w:w="1844" w:type="dxa"/>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rPr>
            </w:pPr>
          </w:p>
        </w:tc>
        <w:tc>
          <w:tcPr>
            <w:tcW w:w="1875" w:type="dxa"/>
          </w:tcPr>
          <w:p>
            <w:pPr>
              <w:spacing w:line="420" w:lineRule="exact"/>
              <w:jc w:val="center"/>
              <w:rPr>
                <w:rFonts w:hint="eastAsia" w:ascii="宋体" w:hAnsi="宋体" w:eastAsia="宋体" w:cs="宋体"/>
                <w:color w:val="auto"/>
                <w:sz w:val="24"/>
                <w:szCs w:val="24"/>
                <w:highlight w:val="none"/>
              </w:rPr>
            </w:pPr>
          </w:p>
        </w:tc>
        <w:tc>
          <w:tcPr>
            <w:tcW w:w="412" w:type="dxa"/>
          </w:tcPr>
          <w:p>
            <w:pPr>
              <w:spacing w:line="420" w:lineRule="exact"/>
              <w:rPr>
                <w:rFonts w:hint="eastAsia" w:ascii="宋体" w:hAnsi="宋体" w:eastAsia="宋体" w:cs="宋体"/>
                <w:color w:val="auto"/>
                <w:sz w:val="24"/>
                <w:szCs w:val="24"/>
                <w:highlight w:val="none"/>
              </w:rPr>
            </w:pPr>
          </w:p>
        </w:tc>
        <w:tc>
          <w:tcPr>
            <w:tcW w:w="500" w:type="dxa"/>
          </w:tcPr>
          <w:p>
            <w:pPr>
              <w:spacing w:line="420" w:lineRule="exact"/>
              <w:rPr>
                <w:rFonts w:hint="eastAsia" w:ascii="宋体" w:hAnsi="宋体" w:eastAsia="宋体" w:cs="宋体"/>
                <w:color w:val="auto"/>
                <w:sz w:val="24"/>
                <w:szCs w:val="24"/>
                <w:highlight w:val="none"/>
              </w:rPr>
            </w:pPr>
          </w:p>
        </w:tc>
        <w:tc>
          <w:tcPr>
            <w:tcW w:w="438" w:type="dxa"/>
          </w:tcPr>
          <w:p>
            <w:pPr>
              <w:spacing w:line="420" w:lineRule="exact"/>
              <w:rPr>
                <w:rFonts w:hint="eastAsia" w:ascii="宋体" w:hAnsi="宋体" w:eastAsia="宋体" w:cs="宋体"/>
                <w:color w:val="auto"/>
                <w:sz w:val="24"/>
                <w:szCs w:val="24"/>
                <w:highlight w:val="none"/>
              </w:rPr>
            </w:pPr>
          </w:p>
        </w:tc>
        <w:tc>
          <w:tcPr>
            <w:tcW w:w="700" w:type="dxa"/>
          </w:tcPr>
          <w:p>
            <w:pPr>
              <w:spacing w:line="420" w:lineRule="exact"/>
              <w:rPr>
                <w:rFonts w:hint="eastAsia" w:ascii="宋体" w:hAnsi="宋体" w:eastAsia="宋体" w:cs="宋体"/>
                <w:color w:val="auto"/>
                <w:sz w:val="24"/>
                <w:szCs w:val="24"/>
                <w:highlight w:val="none"/>
              </w:rPr>
            </w:pPr>
          </w:p>
        </w:tc>
        <w:tc>
          <w:tcPr>
            <w:tcW w:w="775" w:type="dxa"/>
          </w:tcPr>
          <w:p>
            <w:pPr>
              <w:spacing w:line="420" w:lineRule="exact"/>
              <w:rPr>
                <w:rFonts w:hint="eastAsia" w:ascii="宋体" w:hAnsi="宋体" w:eastAsia="宋体" w:cs="宋体"/>
                <w:color w:val="auto"/>
                <w:sz w:val="24"/>
                <w:szCs w:val="24"/>
                <w:highlight w:val="none"/>
              </w:rPr>
            </w:pPr>
          </w:p>
        </w:tc>
        <w:tc>
          <w:tcPr>
            <w:tcW w:w="862" w:type="dxa"/>
          </w:tcPr>
          <w:p>
            <w:pPr>
              <w:spacing w:line="420" w:lineRule="exact"/>
              <w:rPr>
                <w:rFonts w:hint="eastAsia" w:ascii="宋体" w:hAnsi="宋体" w:eastAsia="宋体" w:cs="宋体"/>
                <w:color w:val="auto"/>
                <w:sz w:val="24"/>
                <w:szCs w:val="24"/>
                <w:highlight w:val="none"/>
              </w:rPr>
            </w:pPr>
          </w:p>
        </w:tc>
        <w:tc>
          <w:tcPr>
            <w:tcW w:w="1132" w:type="dxa"/>
          </w:tcPr>
          <w:p>
            <w:pPr>
              <w:spacing w:line="420" w:lineRule="exact"/>
              <w:jc w:val="center"/>
              <w:rPr>
                <w:rFonts w:hint="eastAsia" w:ascii="宋体" w:hAnsi="宋体" w:eastAsia="宋体" w:cs="宋体"/>
                <w:color w:val="auto"/>
                <w:sz w:val="24"/>
                <w:szCs w:val="24"/>
                <w:highlight w:val="none"/>
              </w:rPr>
            </w:pPr>
          </w:p>
        </w:tc>
      </w:tr>
    </w:tbl>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auto"/>
          <w:spacing w:val="-12"/>
          <w:kern w:val="0"/>
          <w:sz w:val="24"/>
          <w:szCs w:val="24"/>
          <w:highlight w:val="none"/>
        </w:rPr>
      </w:pP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auto"/>
          <w:spacing w:val="-12"/>
          <w:kern w:val="0"/>
          <w:sz w:val="24"/>
          <w:szCs w:val="24"/>
          <w:highlight w:val="none"/>
        </w:rPr>
        <w:sectPr>
          <w:headerReference r:id="rId17" w:type="first"/>
          <w:headerReference r:id="rId15" w:type="default"/>
          <w:footerReference r:id="rId18" w:type="default"/>
          <w:headerReference r:id="rId16" w:type="even"/>
          <w:type w:val="continuous"/>
          <w:pgSz w:w="11906" w:h="16840"/>
          <w:pgMar w:top="1440" w:right="1800" w:bottom="1440" w:left="1800" w:header="851" w:footer="992" w:gutter="0"/>
          <w:pgNumType w:fmt="decimal"/>
          <w:cols w:space="720" w:num="1"/>
          <w:docGrid w:type="lines" w:linePitch="312" w:charSpace="0"/>
        </w:sectPr>
      </w:pP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pacing w:val="-12"/>
          <w:kern w:val="0"/>
          <w:sz w:val="24"/>
          <w:szCs w:val="24"/>
          <w:highlight w:val="none"/>
        </w:rPr>
        <w:t>附件</w:t>
      </w:r>
      <w:r>
        <w:rPr>
          <w:rFonts w:hint="eastAsia" w:ascii="宋体" w:hAnsi="宋体" w:cs="宋体"/>
          <w:color w:val="auto"/>
          <w:spacing w:val="-12"/>
          <w:kern w:val="0"/>
          <w:sz w:val="24"/>
          <w:szCs w:val="24"/>
          <w:highlight w:val="none"/>
          <w:lang w:val="en-US" w:eastAsia="zh-CN"/>
        </w:rPr>
        <w:t>四</w:t>
      </w:r>
      <w:r>
        <w:rPr>
          <w:rFonts w:hint="eastAsia" w:ascii="宋体" w:hAnsi="宋体" w:eastAsia="宋体" w:cs="宋体"/>
          <w:color w:val="auto"/>
          <w:spacing w:val="-12"/>
          <w:kern w:val="0"/>
          <w:sz w:val="24"/>
          <w:szCs w:val="24"/>
          <w:highlight w:val="none"/>
        </w:rPr>
        <w:t>：</w:t>
      </w: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spacing w:val="-5"/>
          <w:kern w:val="0"/>
          <w:sz w:val="24"/>
          <w:szCs w:val="24"/>
          <w:highlight w:val="none"/>
        </w:rPr>
        <w:t>专业工程暂估价表</w:t>
      </w:r>
    </w:p>
    <w:tbl>
      <w:tblPr>
        <w:tblStyle w:val="31"/>
        <w:tblW w:w="825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15"/>
        <w:gridCol w:w="2513"/>
        <w:gridCol w:w="3924"/>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8" w:hRule="atLeast"/>
        </w:trPr>
        <w:tc>
          <w:tcPr>
            <w:tcW w:w="615" w:type="dxa"/>
            <w:tcBorders>
              <w:top w:val="single" w:color="000000" w:sz="12" w:space="0"/>
              <w:left w:val="single" w:color="000000" w:sz="12" w:space="0"/>
              <w:bottom w:val="single" w:color="000000" w:sz="4" w:space="0"/>
              <w:right w:val="single" w:color="000000" w:sz="4" w:space="0"/>
            </w:tcBorders>
            <w:shd w:val="clear" w:color="auto" w:fill="auto"/>
            <w:vAlign w:val="center"/>
          </w:tcPr>
          <w:p>
            <w:pPr>
              <w:pStyle w:val="30"/>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pacing w:val="-3"/>
                <w:kern w:val="0"/>
                <w:sz w:val="24"/>
                <w:szCs w:val="24"/>
                <w:highlight w:val="none"/>
              </w:rPr>
              <w:t>序号</w:t>
            </w:r>
          </w:p>
        </w:tc>
        <w:tc>
          <w:tcPr>
            <w:tcW w:w="2513"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pacing w:val="-2"/>
                <w:kern w:val="0"/>
                <w:sz w:val="24"/>
                <w:szCs w:val="24"/>
                <w:highlight w:val="none"/>
              </w:rPr>
              <w:t>专业工程名称</w:t>
            </w:r>
          </w:p>
        </w:tc>
        <w:tc>
          <w:tcPr>
            <w:tcW w:w="3924"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pacing w:val="-3"/>
                <w:kern w:val="0"/>
                <w:sz w:val="24"/>
                <w:szCs w:val="24"/>
                <w:highlight w:val="none"/>
              </w:rPr>
              <w:t>工程内容</w:t>
            </w:r>
          </w:p>
        </w:tc>
        <w:tc>
          <w:tcPr>
            <w:tcW w:w="1207" w:type="dxa"/>
            <w:tcBorders>
              <w:top w:val="single" w:color="000000" w:sz="12" w:space="0"/>
              <w:left w:val="single" w:color="000000" w:sz="4" w:space="0"/>
              <w:bottom w:val="single" w:color="000000" w:sz="4" w:space="0"/>
              <w:right w:val="single" w:color="000000" w:sz="12" w:space="0"/>
            </w:tcBorders>
            <w:shd w:val="clear" w:color="auto" w:fill="auto"/>
            <w:vAlign w:val="center"/>
          </w:tcPr>
          <w:p>
            <w:pPr>
              <w:pStyle w:val="30"/>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pacing w:val="-3"/>
                <w:kern w:val="0"/>
                <w:sz w:val="24"/>
                <w:szCs w:val="24"/>
                <w:highlight w:val="none"/>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4"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暂估价</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以业主聘请的第三方造价咨询单位出具的评审报告为准。</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22"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auto"/>
                <w:kern w:val="0"/>
                <w:sz w:val="24"/>
                <w:szCs w:val="24"/>
                <w:highlight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auto"/>
                <w:kern w:val="0"/>
                <w:sz w:val="24"/>
                <w:szCs w:val="24"/>
                <w:highlight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auto"/>
                <w:kern w:val="0"/>
                <w:sz w:val="24"/>
                <w:szCs w:val="24"/>
                <w:highlight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24"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auto"/>
                <w:kern w:val="0"/>
                <w:sz w:val="24"/>
                <w:szCs w:val="24"/>
                <w:highlight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auto"/>
                <w:kern w:val="0"/>
                <w:sz w:val="24"/>
                <w:szCs w:val="24"/>
                <w:highlight w:val="none"/>
              </w:rPr>
            </w:pPr>
          </w:p>
        </w:tc>
      </w:tr>
    </w:tbl>
    <w:p>
      <w:pPr>
        <w:rPr>
          <w:color w:val="auto"/>
          <w:highlight w:val="none"/>
        </w:rPr>
      </w:pPr>
    </w:p>
    <w:p>
      <w:pPr>
        <w:rPr>
          <w:rFonts w:hint="eastAsia"/>
          <w:color w:val="auto"/>
          <w:sz w:val="36"/>
          <w:szCs w:val="36"/>
          <w:highlight w:val="none"/>
        </w:rPr>
        <w:sectPr>
          <w:pgSz w:w="11906" w:h="16840"/>
          <w:pgMar w:top="1440" w:right="1800" w:bottom="1440" w:left="1800" w:header="851" w:footer="992" w:gutter="0"/>
          <w:pgNumType w:fmt="decimal"/>
          <w:cols w:space="720" w:num="1"/>
          <w:docGrid w:type="lines" w:linePitch="312" w:charSpace="0"/>
        </w:sectPr>
      </w:pPr>
    </w:p>
    <w:p>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附件五：</w:t>
      </w:r>
    </w:p>
    <w:p>
      <w:pPr>
        <w:spacing w:line="360" w:lineRule="auto"/>
        <w:ind w:left="210" w:left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工程质量保修</w:t>
      </w:r>
      <w:r>
        <w:rPr>
          <w:rFonts w:hint="eastAsia" w:ascii="宋体" w:hAnsi="宋体" w:cs="宋体"/>
          <w:color w:val="auto"/>
          <w:sz w:val="24"/>
          <w:highlight w:val="none"/>
          <w:lang w:val="en-US" w:eastAsia="zh-CN"/>
        </w:rPr>
        <w:t>承诺</w:t>
      </w:r>
      <w:r>
        <w:rPr>
          <w:rFonts w:hint="eastAsia" w:ascii="宋体" w:hAnsi="宋体" w:eastAsia="宋体" w:cs="宋体"/>
          <w:color w:val="auto"/>
          <w:sz w:val="24"/>
          <w:highlight w:val="none"/>
        </w:rPr>
        <w:t>书</w:t>
      </w:r>
    </w:p>
    <w:p>
      <w:pPr>
        <w:spacing w:before="156" w:beforeLines="50" w:line="360" w:lineRule="auto"/>
        <w:rPr>
          <w:rFonts w:hint="eastAsia" w:ascii="宋体" w:hAnsi="宋体" w:eastAsia="宋体" w:cs="宋体"/>
          <w:color w:val="auto"/>
          <w:kern w:val="2"/>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泸州兴阳建川实业有限公司</w:t>
      </w:r>
      <w:r>
        <w:rPr>
          <w:rFonts w:hint="eastAsia" w:ascii="宋体" w:hAnsi="宋体" w:eastAsia="宋体" w:cs="宋体"/>
          <w:color w:val="auto"/>
          <w:sz w:val="24"/>
          <w:highlight w:val="none"/>
          <w:u w:val="single"/>
        </w:rPr>
        <w:t xml:space="preserve"> </w:t>
      </w:r>
    </w:p>
    <w:p>
      <w:pPr>
        <w:spacing w:after="156" w:afterLines="50"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根据《中华人民共和国建筑法》、《建设工程质量管理条例》和《房屋建筑工程质量保修办法》，经协商一致，对</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（工程名称）签订保修书。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一、工程保修范围和内容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在保修期内，按照有关法律、法规、规章的管理规定和双方约定，承担本工程保修责任。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二、保修期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双方根据《建设工程质量管理条例》及有关规定，约定本工程的保修期如下：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1.地基基础工程和主体结构工程为设计文件规定的该工程合理使用年限；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2.屋面防水工程、有防水要求的卫生间、房间和外墙面的防渗漏为5年；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5.供热与供冷系统为2个采暖期、供冷期；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6.住宅小区内的给排水设施、道路等配套工程为2年；</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7.其他项目保修期限约定如下：绿化1年、道路1年，其余2年。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1.属于责任范围、内容的项目，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应当在接到保修通知之日起7天内派人保修。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不在约定期限内派人保修的，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可以委托他人修理。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2.发生紧急抢修事故的，</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在接到事故通知后，应当立即到达事故现场抢修。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实施保修。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组织验收。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四、保修费用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五、工程质量保证金的退还</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质量保证金按结算审定的金额3%计留，质量保证金</w:t>
      </w:r>
      <w:r>
        <w:rPr>
          <w:rFonts w:hint="eastAsia" w:ascii="宋体" w:hAnsi="宋体" w:eastAsia="宋体" w:cs="宋体"/>
          <w:color w:val="auto"/>
          <w:sz w:val="24"/>
          <w:highlight w:val="none"/>
          <w:lang w:val="en-US" w:eastAsia="zh-CN"/>
        </w:rPr>
        <w:t>在缺陷责任期</w:t>
      </w:r>
      <w:r>
        <w:rPr>
          <w:rFonts w:hint="eastAsia" w:ascii="宋体" w:hAnsi="宋体" w:cs="宋体"/>
          <w:color w:val="auto"/>
          <w:sz w:val="24"/>
          <w:highlight w:val="none"/>
          <w:lang w:val="en-US" w:eastAsia="zh-CN"/>
        </w:rPr>
        <w:t>（2年）届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双方约定的其他工程保修责任事项：  /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本工程保修书，由施工合同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双方在竣工验收前共同签署，作为施工合同附件，其有效期限至保修期满。</w:t>
      </w:r>
    </w:p>
    <w:p>
      <w:pPr>
        <w:spacing w:line="360" w:lineRule="auto"/>
        <w:ind w:firstLine="480" w:firstLineChars="200"/>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（签字）              委托代理人：  （签字）</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 xml:space="preserve">号：                               </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号：</w:t>
      </w:r>
    </w:p>
    <w:p>
      <w:pPr>
        <w:pStyle w:val="2"/>
        <w:ind w:firstLine="480" w:firstLineChars="200"/>
        <w:rPr>
          <w:rFonts w:hint="eastAsia"/>
          <w:color w:val="auto"/>
        </w:rPr>
      </w:pPr>
      <w:r>
        <w:rPr>
          <w:rFonts w:hint="eastAsia" w:ascii="宋体" w:hAnsi="宋体" w:eastAsia="宋体" w:cs="宋体"/>
          <w:color w:val="auto"/>
          <w:sz w:val="24"/>
          <w:highlight w:val="none"/>
        </w:rPr>
        <w:t>邮政编码：                           邮政编码：</w:t>
      </w:r>
    </w:p>
    <w:bookmarkEnd w:id="140"/>
    <w:sectPr>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3"/>
      </w:rPr>
    </w:pPr>
    <w:r>
      <w:fldChar w:fldCharType="begin"/>
    </w:r>
    <w:r>
      <w:rPr>
        <w:rStyle w:val="23"/>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sz w:val="36"/>
        <w:szCs w:val="28"/>
      </w:rPr>
    </w:pPr>
    <w:r>
      <w:rPr>
        <w:sz w:val="3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000000" w:sz="0" w:space="0"/>
        <w:right w:val="none" w:color="000000" w:sz="0" w:space="0"/>
      </w:pBdr>
      <w:snapToGrid w:val="0"/>
      <w:spacing w:after="1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9CBA4"/>
    <w:multiLevelType w:val="singleLevel"/>
    <w:tmpl w:val="1829CBA4"/>
    <w:lvl w:ilvl="0" w:tentative="0">
      <w:start w:val="7"/>
      <w:numFmt w:val="chineseCounting"/>
      <w:suff w:val="nothing"/>
      <w:lvlText w:val="%1、"/>
      <w:lvlJc w:val="left"/>
      <w:rPr>
        <w:rFonts w:hint="eastAsia"/>
      </w:rPr>
    </w:lvl>
  </w:abstractNum>
  <w:abstractNum w:abstractNumId="1">
    <w:nsid w:val="702E496E"/>
    <w:multiLevelType w:val="singleLevel"/>
    <w:tmpl w:val="702E496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357489"/>
    <w:rsid w:val="018C05D4"/>
    <w:rsid w:val="01EF3470"/>
    <w:rsid w:val="01FE182A"/>
    <w:rsid w:val="02153BB4"/>
    <w:rsid w:val="021B4775"/>
    <w:rsid w:val="0225233E"/>
    <w:rsid w:val="03355077"/>
    <w:rsid w:val="038E0B3E"/>
    <w:rsid w:val="03C97144"/>
    <w:rsid w:val="0402206D"/>
    <w:rsid w:val="040967AA"/>
    <w:rsid w:val="05A87014"/>
    <w:rsid w:val="064E08D1"/>
    <w:rsid w:val="06A055D4"/>
    <w:rsid w:val="0773515D"/>
    <w:rsid w:val="07A25DD3"/>
    <w:rsid w:val="07E72590"/>
    <w:rsid w:val="08474F99"/>
    <w:rsid w:val="084B38BB"/>
    <w:rsid w:val="08C5708D"/>
    <w:rsid w:val="09494C5A"/>
    <w:rsid w:val="09AF58C0"/>
    <w:rsid w:val="0A3D532E"/>
    <w:rsid w:val="0A6C79C1"/>
    <w:rsid w:val="0AF03028"/>
    <w:rsid w:val="0BAA0CD7"/>
    <w:rsid w:val="0BE34A57"/>
    <w:rsid w:val="0DCC6442"/>
    <w:rsid w:val="0DDD7A1D"/>
    <w:rsid w:val="0E7B574F"/>
    <w:rsid w:val="0FE4430D"/>
    <w:rsid w:val="108934B1"/>
    <w:rsid w:val="1095317A"/>
    <w:rsid w:val="10AD15D7"/>
    <w:rsid w:val="10DD3A6A"/>
    <w:rsid w:val="10FE39EF"/>
    <w:rsid w:val="114E021C"/>
    <w:rsid w:val="11F10D84"/>
    <w:rsid w:val="123A0DB3"/>
    <w:rsid w:val="12F268F5"/>
    <w:rsid w:val="154C128C"/>
    <w:rsid w:val="15A5287C"/>
    <w:rsid w:val="15AF0829"/>
    <w:rsid w:val="15C349DE"/>
    <w:rsid w:val="15C449CA"/>
    <w:rsid w:val="16467BBB"/>
    <w:rsid w:val="18A61429"/>
    <w:rsid w:val="18A76385"/>
    <w:rsid w:val="18A97044"/>
    <w:rsid w:val="199F1E20"/>
    <w:rsid w:val="19F759D5"/>
    <w:rsid w:val="1A2950FA"/>
    <w:rsid w:val="1A8014E1"/>
    <w:rsid w:val="1AEC7E6C"/>
    <w:rsid w:val="1AF02CD2"/>
    <w:rsid w:val="1B690C0C"/>
    <w:rsid w:val="1BEA1410"/>
    <w:rsid w:val="1CEE2C04"/>
    <w:rsid w:val="1CF01370"/>
    <w:rsid w:val="1FEE3EF7"/>
    <w:rsid w:val="204D59F7"/>
    <w:rsid w:val="20DF7391"/>
    <w:rsid w:val="219A21A5"/>
    <w:rsid w:val="222A50C8"/>
    <w:rsid w:val="23592BBF"/>
    <w:rsid w:val="24527237"/>
    <w:rsid w:val="245818BB"/>
    <w:rsid w:val="247A388C"/>
    <w:rsid w:val="2501526A"/>
    <w:rsid w:val="253D409F"/>
    <w:rsid w:val="253E4019"/>
    <w:rsid w:val="25A115C9"/>
    <w:rsid w:val="26077E86"/>
    <w:rsid w:val="269B3DD9"/>
    <w:rsid w:val="2780046C"/>
    <w:rsid w:val="27F522DF"/>
    <w:rsid w:val="29F02D68"/>
    <w:rsid w:val="2A8E01BA"/>
    <w:rsid w:val="2AC23395"/>
    <w:rsid w:val="2ADB11C9"/>
    <w:rsid w:val="2C2B26E6"/>
    <w:rsid w:val="2C9B5967"/>
    <w:rsid w:val="2D173D0F"/>
    <w:rsid w:val="2E9A5F16"/>
    <w:rsid w:val="2F350375"/>
    <w:rsid w:val="2F4029D7"/>
    <w:rsid w:val="2F6365FD"/>
    <w:rsid w:val="305170DC"/>
    <w:rsid w:val="311517A8"/>
    <w:rsid w:val="312B676E"/>
    <w:rsid w:val="3194158E"/>
    <w:rsid w:val="3245705B"/>
    <w:rsid w:val="33064502"/>
    <w:rsid w:val="337F1800"/>
    <w:rsid w:val="33BD12ED"/>
    <w:rsid w:val="33D97C0B"/>
    <w:rsid w:val="34863654"/>
    <w:rsid w:val="34E0432F"/>
    <w:rsid w:val="350B5EBB"/>
    <w:rsid w:val="359F7EC8"/>
    <w:rsid w:val="35B361A6"/>
    <w:rsid w:val="36466AB6"/>
    <w:rsid w:val="36B41755"/>
    <w:rsid w:val="374C7206"/>
    <w:rsid w:val="376C68FE"/>
    <w:rsid w:val="38381EFF"/>
    <w:rsid w:val="3843122E"/>
    <w:rsid w:val="38B31156"/>
    <w:rsid w:val="38D52C34"/>
    <w:rsid w:val="390D23D6"/>
    <w:rsid w:val="397630CB"/>
    <w:rsid w:val="398A1ADC"/>
    <w:rsid w:val="3A5761D5"/>
    <w:rsid w:val="3A81720C"/>
    <w:rsid w:val="3AAF3A88"/>
    <w:rsid w:val="3AF1781C"/>
    <w:rsid w:val="3B9A471A"/>
    <w:rsid w:val="3C272F13"/>
    <w:rsid w:val="3C706E90"/>
    <w:rsid w:val="3C7D48A7"/>
    <w:rsid w:val="3D2F5431"/>
    <w:rsid w:val="3D615E48"/>
    <w:rsid w:val="3EA46105"/>
    <w:rsid w:val="3F012022"/>
    <w:rsid w:val="3F047217"/>
    <w:rsid w:val="3F3E1721"/>
    <w:rsid w:val="40140ED6"/>
    <w:rsid w:val="4076794F"/>
    <w:rsid w:val="407C54B8"/>
    <w:rsid w:val="41551D01"/>
    <w:rsid w:val="415A6DBD"/>
    <w:rsid w:val="419812C6"/>
    <w:rsid w:val="41BF7A29"/>
    <w:rsid w:val="41DE179C"/>
    <w:rsid w:val="428F45BD"/>
    <w:rsid w:val="42CC5486"/>
    <w:rsid w:val="430805D0"/>
    <w:rsid w:val="438974A1"/>
    <w:rsid w:val="43AB3626"/>
    <w:rsid w:val="447719FC"/>
    <w:rsid w:val="461F7CE5"/>
    <w:rsid w:val="468D4283"/>
    <w:rsid w:val="46FC00EB"/>
    <w:rsid w:val="47103D5B"/>
    <w:rsid w:val="47365CD3"/>
    <w:rsid w:val="474D034D"/>
    <w:rsid w:val="47527A52"/>
    <w:rsid w:val="480045CE"/>
    <w:rsid w:val="482A3EAC"/>
    <w:rsid w:val="48E43FD0"/>
    <w:rsid w:val="49EF2621"/>
    <w:rsid w:val="4A712751"/>
    <w:rsid w:val="4A912E96"/>
    <w:rsid w:val="4AD5013F"/>
    <w:rsid w:val="4B202A33"/>
    <w:rsid w:val="4CDC18B5"/>
    <w:rsid w:val="4D696C1A"/>
    <w:rsid w:val="4DD76336"/>
    <w:rsid w:val="4E9609D8"/>
    <w:rsid w:val="4EB772F7"/>
    <w:rsid w:val="505A0FAB"/>
    <w:rsid w:val="50A64DA4"/>
    <w:rsid w:val="50D21A70"/>
    <w:rsid w:val="510C1EF3"/>
    <w:rsid w:val="515B7A70"/>
    <w:rsid w:val="522719C8"/>
    <w:rsid w:val="52F17E4C"/>
    <w:rsid w:val="53925D40"/>
    <w:rsid w:val="544319D5"/>
    <w:rsid w:val="548E0C17"/>
    <w:rsid w:val="54E36CFA"/>
    <w:rsid w:val="551C775D"/>
    <w:rsid w:val="55A412E0"/>
    <w:rsid w:val="55A94198"/>
    <w:rsid w:val="560C1580"/>
    <w:rsid w:val="561F33A6"/>
    <w:rsid w:val="57F124AD"/>
    <w:rsid w:val="58F0297D"/>
    <w:rsid w:val="5B120D53"/>
    <w:rsid w:val="5B6339F0"/>
    <w:rsid w:val="5C382CBA"/>
    <w:rsid w:val="5D3F72BB"/>
    <w:rsid w:val="5E900F69"/>
    <w:rsid w:val="5EA747C2"/>
    <w:rsid w:val="603D6D81"/>
    <w:rsid w:val="615054AD"/>
    <w:rsid w:val="621438EE"/>
    <w:rsid w:val="641A3247"/>
    <w:rsid w:val="64467A86"/>
    <w:rsid w:val="645135FE"/>
    <w:rsid w:val="646802C9"/>
    <w:rsid w:val="64B671C1"/>
    <w:rsid w:val="64B715AC"/>
    <w:rsid w:val="64DD63CE"/>
    <w:rsid w:val="64EC2D3F"/>
    <w:rsid w:val="656822D1"/>
    <w:rsid w:val="66132807"/>
    <w:rsid w:val="662F4B20"/>
    <w:rsid w:val="66A02833"/>
    <w:rsid w:val="67036746"/>
    <w:rsid w:val="67107DE0"/>
    <w:rsid w:val="6748447C"/>
    <w:rsid w:val="67E36682"/>
    <w:rsid w:val="682B5BA0"/>
    <w:rsid w:val="68AC4EBF"/>
    <w:rsid w:val="68EC2AE7"/>
    <w:rsid w:val="692823E0"/>
    <w:rsid w:val="69577C08"/>
    <w:rsid w:val="696F185E"/>
    <w:rsid w:val="6A0A175A"/>
    <w:rsid w:val="6A7A16B8"/>
    <w:rsid w:val="6A84231C"/>
    <w:rsid w:val="6A8E5FAC"/>
    <w:rsid w:val="6AA951D3"/>
    <w:rsid w:val="6B4F60B4"/>
    <w:rsid w:val="6B6267EC"/>
    <w:rsid w:val="6BB55EF7"/>
    <w:rsid w:val="6BDE3D36"/>
    <w:rsid w:val="6C3D54F9"/>
    <w:rsid w:val="6D1A412B"/>
    <w:rsid w:val="6D2041C1"/>
    <w:rsid w:val="6DB048B7"/>
    <w:rsid w:val="6E331698"/>
    <w:rsid w:val="6E781A51"/>
    <w:rsid w:val="6E7C4EDA"/>
    <w:rsid w:val="6F1A0ED3"/>
    <w:rsid w:val="6F777944"/>
    <w:rsid w:val="702B33A8"/>
    <w:rsid w:val="705F0B4F"/>
    <w:rsid w:val="70E418FE"/>
    <w:rsid w:val="729130E1"/>
    <w:rsid w:val="72BE6A64"/>
    <w:rsid w:val="72D62BA9"/>
    <w:rsid w:val="742A64A8"/>
    <w:rsid w:val="7447334F"/>
    <w:rsid w:val="74931CF1"/>
    <w:rsid w:val="74C4154C"/>
    <w:rsid w:val="74C44DE8"/>
    <w:rsid w:val="74DC591A"/>
    <w:rsid w:val="755D72AA"/>
    <w:rsid w:val="75965088"/>
    <w:rsid w:val="75B17C2F"/>
    <w:rsid w:val="75B773EB"/>
    <w:rsid w:val="75B94E29"/>
    <w:rsid w:val="75DF4A93"/>
    <w:rsid w:val="765C3401"/>
    <w:rsid w:val="76E360F1"/>
    <w:rsid w:val="76FB1D6F"/>
    <w:rsid w:val="7709332E"/>
    <w:rsid w:val="77837658"/>
    <w:rsid w:val="77DC2D07"/>
    <w:rsid w:val="795B1D53"/>
    <w:rsid w:val="7A6261F1"/>
    <w:rsid w:val="7A7758DE"/>
    <w:rsid w:val="7B492A78"/>
    <w:rsid w:val="7B8E01BE"/>
    <w:rsid w:val="7BCD0334"/>
    <w:rsid w:val="7C014B9D"/>
    <w:rsid w:val="7D0B32A7"/>
    <w:rsid w:val="7D2A2168"/>
    <w:rsid w:val="7D904960"/>
    <w:rsid w:val="7DAD07AB"/>
    <w:rsid w:val="7E45568C"/>
    <w:rsid w:val="7ECB0A5A"/>
    <w:rsid w:val="7EEB0B5F"/>
    <w:rsid w:val="7F6E0A32"/>
    <w:rsid w:val="7F9F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link w:val="29"/>
    <w:qFormat/>
    <w:uiPriority w:val="0"/>
    <w:pPr>
      <w:keepNext/>
      <w:keepLines/>
      <w:spacing w:before="260" w:after="260" w:line="416" w:lineRule="auto"/>
      <w:outlineLvl w:val="2"/>
    </w:pPr>
    <w:rPr>
      <w:b/>
      <w:bCs/>
      <w:sz w:val="32"/>
      <w:szCs w:val="32"/>
    </w:rPr>
  </w:style>
  <w:style w:type="paragraph" w:styleId="9">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annotation text"/>
    <w:basedOn w:val="1"/>
    <w:qFormat/>
    <w:uiPriority w:val="0"/>
    <w:pPr>
      <w:jc w:val="left"/>
    </w:pPr>
  </w:style>
  <w:style w:type="paragraph" w:styleId="11">
    <w:name w:val="Body Text Indent"/>
    <w:basedOn w:val="1"/>
    <w:qFormat/>
    <w:uiPriority w:val="0"/>
    <w:pPr>
      <w:ind w:firstLine="630"/>
    </w:pPr>
    <w:rPr>
      <w:sz w:val="32"/>
      <w:szCs w:val="20"/>
    </w:r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w:basedOn w:val="2"/>
    <w:next w:val="20"/>
    <w:unhideWhenUsed/>
    <w:qFormat/>
    <w:uiPriority w:val="99"/>
    <w:pPr>
      <w:ind w:firstLine="420" w:firstLineChars="100"/>
    </w:pPr>
  </w:style>
  <w:style w:type="paragraph" w:styleId="20">
    <w:name w:val="Body Text First Indent 2"/>
    <w:basedOn w:val="11"/>
    <w:next w:val="19"/>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character" w:styleId="23">
    <w:name w:val="page number"/>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9">
    <w:name w:val="标题 3 Char"/>
    <w:link w:val="8"/>
    <w:qFormat/>
    <w:uiPriority w:val="9"/>
    <w:rPr>
      <w:b/>
      <w:bCs/>
      <w:sz w:val="32"/>
      <w:szCs w:val="32"/>
    </w:rPr>
  </w:style>
  <w:style w:type="paragraph" w:customStyle="1" w:styleId="30">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31">
    <w:name w:val="Table Normal"/>
    <w:basedOn w:val="21"/>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32">
    <w:name w:val="BodyText"/>
    <w:basedOn w:val="1"/>
    <w:next w:val="33"/>
    <w:qFormat/>
    <w:uiPriority w:val="0"/>
    <w:pPr>
      <w:spacing w:after="120"/>
      <w:jc w:val="both"/>
      <w:textAlignment w:val="baseline"/>
    </w:pPr>
  </w:style>
  <w:style w:type="paragraph" w:customStyle="1" w:styleId="33">
    <w:name w:val="UserStyle_0"/>
    <w:basedOn w:val="34"/>
    <w:next w:val="35"/>
    <w:qFormat/>
    <w:uiPriority w:val="0"/>
    <w:pPr>
      <w:widowControl/>
      <w:spacing w:line="240" w:lineRule="auto"/>
      <w:ind w:left="420"/>
      <w:jc w:val="both"/>
      <w:textAlignment w:val="baseline"/>
    </w:pPr>
  </w:style>
  <w:style w:type="paragraph" w:customStyle="1" w:styleId="34">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5">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26221</Words>
  <Characters>27603</Characters>
  <Lines>0</Lines>
  <Paragraphs>0</Paragraphs>
  <TotalTime>0</TotalTime>
  <ScaleCrop>false</ScaleCrop>
  <LinksUpToDate>false</LinksUpToDate>
  <CharactersWithSpaces>29843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王杰</cp:lastModifiedBy>
  <dcterms:modified xsi:type="dcterms:W3CDTF">2025-06-17T08:52:57Z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2596B49DD3D94882A8FFE9457B45061A</vt:lpwstr>
  </property>
  <property fmtid="{D5CDD505-2E9C-101B-9397-08002B2CF9AE}" pid="4" name="KSOTemplateDocerSaveRecord">
    <vt:lpwstr>eyJoZGlkIjoiY2YyYzY4NDc0ZGUzNWVhOGNiMGZiZWNiZWUzM2I3ZjEiLCJ1c2VySWQiOiI2Mjc3NjQzMjMifQ==</vt:lpwstr>
  </property>
</Properties>
</file>