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XYCG【2025】016</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r>
        <w:rPr>
          <w:rFonts w:hint="eastAsia" w:ascii="宋体" w:hAnsi="宋体" w:eastAsia="宋体" w:cs="宋体"/>
          <w:b/>
          <w:bCs/>
          <w:color w:val="auto"/>
          <w:sz w:val="52"/>
          <w:szCs w:val="52"/>
          <w:lang w:val="en-US" w:eastAsia="zh-CN"/>
        </w:rPr>
        <w:t>2025年江阳公园农药</w:t>
      </w:r>
      <w:r>
        <w:rPr>
          <w:rFonts w:hint="eastAsia" w:ascii="宋体"/>
          <w:b/>
          <w:color w:val="auto"/>
          <w:sz w:val="52"/>
          <w:szCs w:val="52"/>
          <w:highlight w:val="none"/>
        </w:rPr>
        <w:t>采购项目</w:t>
      </w:r>
    </w:p>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泸州市江阳区醉美城市公园管理有限公司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04</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2899"/>
      <w:bookmarkStart w:id="3" w:name="_Toc91771145"/>
      <w:bookmarkStart w:id="4" w:name="_Toc6752"/>
      <w:r>
        <w:rPr>
          <w:rFonts w:hint="eastAsia" w:ascii="黑体" w:hAnsi="黑体" w:eastAsia="黑体"/>
          <w:color w:val="auto"/>
          <w:sz w:val="36"/>
          <w:highlight w:val="none"/>
        </w:rPr>
        <w:t>目 录</w:t>
      </w:r>
      <w:bookmarkEnd w:id="2"/>
      <w:bookmarkEnd w:id="3"/>
      <w:bookmarkEnd w:id="4"/>
    </w:p>
    <w:p>
      <w:pPr>
        <w:pStyle w:val="14"/>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_Toc6752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_Toc6752 \h </w:instrText>
      </w:r>
      <w:r>
        <w:fldChar w:fldCharType="separate"/>
      </w:r>
      <w:r>
        <w:t>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_Toc20204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_Toc20204 \h </w:instrText>
      </w:r>
      <w:r>
        <w:fldChar w:fldCharType="separate"/>
      </w:r>
      <w:r>
        <w:t>3</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_Toc6669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_Toc6669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_Toc8393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_Toc8393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_Toc11497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_Toc11497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_Toc23931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_Toc23931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_Toc27425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_Toc27425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_Toc18831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_Toc18831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_Toc10197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_Toc10197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_Toc12612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_Toc12612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_Toc13666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_Toc13666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_Toc24629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_Toc24629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_Toc12514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_Toc12514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_Toc10074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_Toc10074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_Toc13995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_Toc13995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_Toc27647 </w:instrText>
      </w:r>
      <w:r>
        <w:rPr>
          <w:rFonts w:hint="eastAsia" w:ascii="宋体" w:hAnsi="宋体" w:eastAsia="宋体" w:cs="宋体"/>
          <w:kern w:val="2"/>
          <w:szCs w:val="24"/>
          <w:highlight w:val="none"/>
        </w:rPr>
        <w:fldChar w:fldCharType="separate"/>
      </w:r>
      <w:r>
        <w:rPr>
          <w:rFonts w:hint="eastAsia" w:ascii="宋体" w:hAnsi="宋体"/>
          <w:highlight w:val="none"/>
        </w:rPr>
        <w:t>二、技术</w:t>
      </w:r>
      <w:r>
        <w:rPr>
          <w:rFonts w:hint="eastAsia" w:ascii="宋体" w:hAnsi="宋体"/>
          <w:highlight w:val="none"/>
          <w:lang w:val="en-US" w:eastAsia="zh-CN"/>
        </w:rPr>
        <w:t>参数</w:t>
      </w:r>
      <w:r>
        <w:rPr>
          <w:rFonts w:hint="eastAsia" w:ascii="宋体" w:hAnsi="宋体"/>
          <w:highlight w:val="none"/>
        </w:rPr>
        <w:t>要求</w:t>
      </w:r>
      <w:r>
        <w:tab/>
      </w:r>
      <w:r>
        <w:fldChar w:fldCharType="begin"/>
      </w:r>
      <w:r>
        <w:instrText xml:space="preserve"> PAGEREF _Toc27647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_Toc12250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_Toc12250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_Toc20399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_Toc20399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_Toc10545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_Toc10545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_Toc16410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_Toc16410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_Toc26053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_Toc26053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_Toc30589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_Toc30589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_Toc31010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_Toc31010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_Toc1117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_Toc1117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_Toc13029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_Toc13029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_Toc24531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_Toc24531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_Toc29672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_Toc29672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_Toc22978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_Toc22978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_Toc14022 </w:instrText>
      </w:r>
      <w:r>
        <w:rPr>
          <w:rFonts w:hint="eastAsia" w:ascii="宋体" w:hAnsi="宋体" w:eastAsia="宋体" w:cs="宋体"/>
          <w:kern w:val="2"/>
          <w:szCs w:val="24"/>
          <w:highlight w:val="none"/>
        </w:rPr>
        <w:fldChar w:fldCharType="separate"/>
      </w:r>
      <w:r>
        <w:rPr>
          <w:rFonts w:ascii="黑体" w:hAnsi="黑体" w:eastAsia="黑体"/>
          <w:highlight w:val="none"/>
        </w:rPr>
        <w:t>第</w:t>
      </w:r>
      <w:r>
        <w:rPr>
          <w:rFonts w:hint="eastAsia" w:ascii="黑体" w:hAnsi="黑体" w:eastAsia="黑体"/>
          <w:highlight w:val="none"/>
          <w:lang w:val="en-US" w:eastAsia="zh-CN"/>
        </w:rPr>
        <w:t>五</w:t>
      </w:r>
      <w:r>
        <w:rPr>
          <w:rFonts w:ascii="黑体" w:hAnsi="黑体" w:eastAsia="黑体"/>
          <w:highlight w:val="none"/>
        </w:rPr>
        <w:t>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_Toc14022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_Toc9714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_Toc9714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_Toc7377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_Toc7377 \h </w:instrText>
      </w:r>
      <w:r>
        <w:fldChar w:fldCharType="separate"/>
      </w:r>
      <w:r>
        <w:t>38</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_Toc23425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_Toc23425 \h </w:instrText>
      </w:r>
      <w:r>
        <w:fldChar w:fldCharType="separate"/>
      </w:r>
      <w:r>
        <w:t>40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_Toc9277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w:t>
      </w:r>
      <w:r>
        <w:rPr>
          <w:rFonts w:hint="eastAsia" w:ascii="黑体" w:hAnsi="黑体" w:eastAsia="黑体"/>
          <w:highlight w:val="none"/>
          <w:lang w:val="en-US" w:eastAsia="zh-CN"/>
        </w:rPr>
        <w:t>六</w:t>
      </w:r>
      <w:r>
        <w:rPr>
          <w:rFonts w:hint="eastAsia" w:ascii="黑体" w:hAnsi="黑体" w:eastAsia="黑体"/>
          <w:highlight w:val="none"/>
        </w:rPr>
        <w:t>章 采购合同（草案）</w:t>
      </w:r>
      <w:r>
        <w:tab/>
      </w:r>
      <w:r>
        <w:fldChar w:fldCharType="begin"/>
      </w:r>
      <w:r>
        <w:instrText xml:space="preserve"> PAGEREF _Toc9277 \h </w:instrText>
      </w:r>
      <w:r>
        <w:fldChar w:fldCharType="separate"/>
      </w:r>
      <w:r>
        <w:t>42</w:t>
      </w:r>
      <w: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pPr>
    </w:p>
    <w:p>
      <w:pPr>
        <w:pStyle w:val="3"/>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20204"/>
      <w:r>
        <w:rPr>
          <w:rFonts w:hint="eastAsia" w:ascii="黑体" w:hAnsi="黑体" w:eastAsia="黑体"/>
          <w:color w:val="auto"/>
          <w:sz w:val="36"/>
          <w:highlight w:val="none"/>
        </w:rPr>
        <w:t>第一章 询价邀请公告</w:t>
      </w:r>
      <w:bookmarkEnd w:id="5"/>
      <w:bookmarkEnd w:id="6"/>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val="en-US" w:eastAsia="zh-CN"/>
        </w:rPr>
        <w:t>2025年江阳公园农药</w:t>
      </w:r>
      <w:r>
        <w:rPr>
          <w:rFonts w:hint="eastAsia" w:ascii="宋体" w:hAnsi="宋体" w:eastAsia="宋体" w:cs="宋体"/>
          <w:color w:val="auto"/>
          <w:sz w:val="24"/>
          <w:szCs w:val="24"/>
          <w:u w:val="single"/>
          <w:lang w:val="en-US" w:eastAsia="zh-CN"/>
        </w:rPr>
        <w:t>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XYCG【2025】016</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val="en-US" w:eastAsia="zh-CN"/>
        </w:rPr>
        <w:t>2025年江阳公园农药采购项目</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合同签订后1年</w:t>
      </w:r>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 xml:space="preserve"> 资金，</w:t>
      </w:r>
      <w:r>
        <w:rPr>
          <w:b/>
          <w:bCs/>
          <w:color w:val="auto"/>
          <w:highlight w:val="none"/>
        </w:rPr>
        <w:t xml:space="preserve">最高限价为 </w:t>
      </w:r>
      <w:r>
        <w:rPr>
          <w:rFonts w:hint="eastAsia"/>
          <w:b/>
          <w:bCs/>
          <w:color w:val="auto"/>
          <w:highlight w:val="none"/>
          <w:lang w:val="en-US" w:eastAsia="zh-CN"/>
        </w:rPr>
        <w:t>20245</w:t>
      </w:r>
      <w:r>
        <w:rPr>
          <w:b/>
          <w:bCs/>
          <w:color w:val="auto"/>
          <w:highlight w:val="none"/>
        </w:rPr>
        <w:t xml:space="preserve"> 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80" w:firstLineChars="200"/>
        <w:rPr>
          <w:color w:val="auto"/>
          <w:sz w:val="24"/>
          <w:szCs w:val="28"/>
          <w:highlight w:val="none"/>
        </w:rPr>
      </w:pPr>
      <w:r>
        <w:rPr>
          <w:rFonts w:hint="eastAsia" w:ascii="Times New Roman" w:hAnsi="Times New Roman" w:eastAsia="宋体" w:cs="Times New Roman"/>
          <w:color w:val="auto"/>
          <w:sz w:val="24"/>
          <w:highlight w:val="none"/>
          <w:lang w:val="en-US" w:eastAsia="zh-CN"/>
        </w:rPr>
        <w:t>我司管理的江阳公园及夜知味范围内绿化面积较大，每年均需使用农药对树木进行虫害防治及治理，现拟采用公开询价方式采购农药供应商，期限一年，预计费用20245元。</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5"/>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5"/>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7.采购人根据采购项目提出的特殊条件：</w:t>
      </w:r>
    </w:p>
    <w:p>
      <w:pPr>
        <w:pStyle w:val="2"/>
        <w:numPr>
          <w:ilvl w:val="0"/>
          <w:numId w:val="0"/>
        </w:numPr>
        <w:ind w:leftChars="0" w:firstLine="480" w:firstLineChars="200"/>
        <w:jc w:val="left"/>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7.1供应商需提供有效期内的《农药经营许可证》。</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04</w:t>
      </w:r>
      <w:r>
        <w:rPr>
          <w:bCs/>
          <w:color w:val="auto"/>
          <w:sz w:val="24"/>
          <w:highlight w:val="none"/>
        </w:rPr>
        <w:t>月</w:t>
      </w:r>
      <w:r>
        <w:rPr>
          <w:rFonts w:hint="eastAsia"/>
          <w:bCs/>
          <w:color w:val="auto"/>
          <w:sz w:val="24"/>
          <w:highlight w:val="none"/>
          <w:lang w:val="en-US" w:eastAsia="zh-CN"/>
        </w:rPr>
        <w:t>28</w:t>
      </w:r>
      <w:r>
        <w:rPr>
          <w:bCs/>
          <w:color w:val="auto"/>
          <w:sz w:val="24"/>
          <w:highlight w:val="none"/>
        </w:rPr>
        <w:t>日</w:t>
      </w:r>
      <w:r>
        <w:rPr>
          <w:rFonts w:hint="eastAsia"/>
          <w:bCs/>
          <w:color w:val="auto"/>
          <w:sz w:val="24"/>
          <w:highlight w:val="none"/>
          <w:lang w:val="en-US" w:eastAsia="zh-CN"/>
        </w:rPr>
        <w:t>09:30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2"/>
          <w:rFonts w:hint="eastAsia" w:ascii="宋体" w:hAnsi="宋体" w:eastAsia="宋体" w:cs="宋体"/>
          <w:b/>
          <w:bCs/>
          <w:color w:val="auto"/>
          <w:sz w:val="24"/>
          <w:szCs w:val="24"/>
          <w:highlight w:val="none"/>
          <w:u w:val="none"/>
          <w:lang w:eastAsia="zh-CN"/>
        </w:rPr>
        <w:t>□</w:t>
      </w:r>
      <w:r>
        <w:rPr>
          <w:rStyle w:val="22"/>
          <w:rFonts w:hint="eastAsia" w:ascii="宋体" w:hAnsi="宋体" w:eastAsia="宋体" w:cs="宋体"/>
          <w:bCs/>
          <w:color w:val="auto"/>
          <w:sz w:val="24"/>
          <w:szCs w:val="24"/>
          <w:highlight w:val="none"/>
          <w:u w:val="none"/>
        </w:rPr>
        <w:t>本次采购</w:t>
      </w:r>
      <w:r>
        <w:rPr>
          <w:rStyle w:val="22"/>
          <w:rFonts w:hint="eastAsia" w:ascii="宋体" w:hAnsi="宋体" w:eastAsia="宋体" w:cs="宋体"/>
          <w:bCs/>
          <w:color w:val="auto"/>
          <w:sz w:val="24"/>
          <w:szCs w:val="24"/>
          <w:highlight w:val="none"/>
          <w:u w:val="none"/>
          <w:lang w:val="en-US" w:eastAsia="zh-CN"/>
        </w:rPr>
        <w:t>只</w:t>
      </w:r>
      <w:r>
        <w:rPr>
          <w:rStyle w:val="22"/>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2"/>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2"/>
          <w:rFonts w:hint="eastAsia" w:ascii="宋体" w:hAnsi="宋体" w:eastAsia="宋体" w:cs="宋体"/>
          <w:bCs/>
          <w:color w:val="auto"/>
          <w:sz w:val="24"/>
          <w:szCs w:val="24"/>
          <w:highlight w:val="none"/>
          <w:u w:val="none"/>
        </w:rPr>
        <w:t>电子邮箱</w:t>
      </w:r>
      <w:r>
        <w:rPr>
          <w:rStyle w:val="22"/>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2"/>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pPr>
        <w:pStyle w:val="25"/>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pPr>
        <w:pStyle w:val="25"/>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李女士</w:t>
      </w:r>
      <w:r>
        <w:rPr>
          <w:color w:val="auto"/>
          <w:sz w:val="24"/>
          <w:highlight w:val="none"/>
        </w:rPr>
        <w:t xml:space="preserve"> </w:t>
      </w:r>
    </w:p>
    <w:p>
      <w:pPr>
        <w:pStyle w:val="25"/>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0830-6661300</w:t>
      </w:r>
      <w:r>
        <w:rPr>
          <w:color w:val="auto"/>
          <w:sz w:val="24"/>
          <w:highlight w:val="none"/>
        </w:rPr>
        <w:t xml:space="preserve">            </w:t>
      </w:r>
    </w:p>
    <w:p>
      <w:pPr>
        <w:pStyle w:val="16"/>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监督电话：0830-</w:t>
      </w:r>
      <w:bookmarkStart w:id="7" w:name="OLE_LINK4"/>
      <w:r>
        <w:rPr>
          <w:rFonts w:hint="eastAsia" w:ascii="Times New Roman" w:hAnsi="Times New Roman"/>
          <w:color w:val="auto"/>
          <w:sz w:val="24"/>
          <w:highlight w:val="none"/>
          <w:lang w:val="en-US" w:eastAsia="zh-CN"/>
        </w:rPr>
        <w:t>6523011</w:t>
      </w:r>
      <w:bookmarkEnd w:id="7"/>
    </w:p>
    <w:p>
      <w:pPr>
        <w:pStyle w:val="16"/>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lang w:val="en-US" w:eastAsia="zh-CN"/>
        </w:rPr>
        <w:t>23</w:t>
      </w:r>
      <w:r>
        <w:rPr>
          <w:rFonts w:ascii="Times New Roman" w:hAnsi="Times New Roman"/>
          <w:color w:val="auto"/>
          <w:sz w:val="24"/>
          <w:szCs w:val="24"/>
          <w:highlight w:val="none"/>
        </w:rPr>
        <w:t>日</w:t>
      </w:r>
    </w:p>
    <w:p>
      <w:pPr>
        <w:pStyle w:val="16"/>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8" w:name="_Toc91771147"/>
      <w:bookmarkStart w:id="9" w:name="_Toc6669"/>
      <w:r>
        <w:rPr>
          <w:rFonts w:hint="eastAsia" w:ascii="黑体" w:hAnsi="黑体" w:eastAsia="黑体"/>
          <w:color w:val="auto"/>
          <w:sz w:val="36"/>
          <w:highlight w:val="none"/>
        </w:rPr>
        <w:t>第二章 询价须知</w:t>
      </w:r>
      <w:bookmarkEnd w:id="8"/>
      <w:bookmarkEnd w:id="9"/>
    </w:p>
    <w:p>
      <w:pPr>
        <w:spacing w:after="240" w:afterLines="100"/>
        <w:jc w:val="center"/>
        <w:outlineLvl w:val="1"/>
        <w:rPr>
          <w:rFonts w:hint="eastAsia" w:ascii="宋体" w:hAnsi="宋体"/>
          <w:b/>
          <w:color w:val="auto"/>
          <w:sz w:val="32"/>
          <w:highlight w:val="none"/>
        </w:rPr>
      </w:pPr>
      <w:bookmarkStart w:id="10" w:name="_Toc8393"/>
      <w:bookmarkStart w:id="11" w:name="_Toc91771148"/>
      <w:r>
        <w:rPr>
          <w:rFonts w:hint="eastAsia" w:ascii="宋体" w:hAnsi="宋体"/>
          <w:b/>
          <w:color w:val="auto"/>
          <w:sz w:val="32"/>
          <w:highlight w:val="none"/>
        </w:rPr>
        <w:t>一、供应商须知前附表</w:t>
      </w:r>
      <w:bookmarkEnd w:id="10"/>
      <w:bookmarkEnd w:id="11"/>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6"/>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6"/>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6"/>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采购预算</w:t>
            </w:r>
          </w:p>
          <w:p>
            <w:pPr>
              <w:pStyle w:val="26"/>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20245</w:t>
            </w:r>
            <w:r>
              <w:rPr>
                <w:rFonts w:hint="eastAsia"/>
                <w:color w:val="auto"/>
                <w:highlight w:val="none"/>
                <w:lang w:val="zh-CN"/>
              </w:rPr>
              <w:t>元；</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最高限价</w:t>
            </w:r>
          </w:p>
          <w:p>
            <w:pPr>
              <w:pStyle w:val="26"/>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20245</w:t>
            </w:r>
            <w:r>
              <w:rPr>
                <w:rFonts w:hint="eastAsia"/>
                <w:color w:val="auto"/>
                <w:highlight w:val="none"/>
                <w:lang w:val="zh-CN"/>
              </w:rPr>
              <w:t>元；</w:t>
            </w:r>
          </w:p>
          <w:p>
            <w:pPr>
              <w:pStyle w:val="26"/>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6"/>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6"/>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6"/>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6"/>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6"/>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6"/>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6"/>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6"/>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6"/>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 xml:space="preserve">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6"/>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6"/>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6"/>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6"/>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6"/>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6"/>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6"/>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1"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6"/>
              <w:spacing w:line="300" w:lineRule="auto"/>
              <w:ind w:firstLine="240" w:firstLineChars="100"/>
              <w:jc w:val="both"/>
              <w:rPr>
                <w:rFonts w:hint="eastAsia" w:eastAsia="宋体"/>
                <w:color w:val="auto"/>
                <w:highlight w:val="none"/>
                <w:lang w:val="zh-CN" w:eastAsia="zh-CN"/>
              </w:rPr>
            </w:pPr>
            <w:r>
              <w:rPr>
                <w:rFonts w:hint="eastAsia"/>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6"/>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6"/>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6"/>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4" w:hRule="atLeast"/>
          <w:jc w:val="center"/>
        </w:trPr>
        <w:tc>
          <w:tcPr>
            <w:tcW w:w="677" w:type="dxa"/>
            <w:noWrap w:val="0"/>
            <w:vAlign w:val="center"/>
          </w:tcPr>
          <w:p>
            <w:pPr>
              <w:pStyle w:val="26"/>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6"/>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李女士</w:t>
            </w:r>
            <w:r>
              <w:rPr>
                <w:rFonts w:hint="eastAsia" w:ascii="宋体" w:hAnsi="宋体" w:cs="宋体"/>
                <w:color w:val="auto"/>
                <w:kern w:val="0"/>
                <w:sz w:val="24"/>
                <w:highlight w:val="none"/>
              </w:rPr>
              <w:t xml:space="preserve">  </w:t>
            </w:r>
          </w:p>
          <w:p>
            <w:pPr>
              <w:pStyle w:val="26"/>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6"/>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6"/>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6"/>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李女士</w:t>
            </w:r>
            <w:r>
              <w:rPr>
                <w:rFonts w:hint="eastAsia"/>
                <w:color w:val="auto"/>
                <w:highlight w:val="none"/>
              </w:rPr>
              <w:t xml:space="preserve"> 。</w:t>
            </w:r>
          </w:p>
          <w:p>
            <w:pPr>
              <w:pStyle w:val="26"/>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6"/>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李女士</w:t>
            </w:r>
            <w:r>
              <w:rPr>
                <w:rFonts w:hint="eastAsia"/>
                <w:color w:val="auto"/>
                <w:highlight w:val="none"/>
              </w:rPr>
              <w:t xml:space="preserve"> </w:t>
            </w:r>
          </w:p>
          <w:p>
            <w:pPr>
              <w:pStyle w:val="26"/>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p>
          <w:p>
            <w:pPr>
              <w:pStyle w:val="26"/>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Times New Roman" w:hAnsi="Times New Roman"/>
                <w:color w:val="auto"/>
                <w:sz w:val="24"/>
                <w:highlight w:val="none"/>
                <w:lang w:val="en-US" w:eastAsia="zh-CN"/>
              </w:rPr>
              <w:t>6523011</w:t>
            </w:r>
            <w:r>
              <w:rPr>
                <w:rFonts w:hint="eastAsia"/>
                <w:color w:val="auto"/>
                <w:highlight w:val="none"/>
                <w:lang w:val="zh-CN"/>
              </w:rPr>
              <w:t>。</w:t>
            </w:r>
          </w:p>
          <w:p>
            <w:pPr>
              <w:pStyle w:val="25"/>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6"/>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04</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28</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val="en-US" w:eastAsia="zh-CN"/>
              </w:rPr>
              <w:t>1年</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6"/>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6"/>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2"/>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6"/>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6"/>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6"/>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rPr>
              <w:t>0830-</w:t>
            </w:r>
            <w:r>
              <w:rPr>
                <w:rFonts w:hint="eastAsia" w:ascii="Times New Roman" w:hAnsi="Times New Roman"/>
                <w:color w:val="auto"/>
                <w:sz w:val="24"/>
                <w:highlight w:val="none"/>
                <w:lang w:val="en-US" w:eastAsia="zh-CN"/>
              </w:rPr>
              <w:t>6523011</w:t>
            </w:r>
            <w:bookmarkStart w:id="108" w:name="_GoBack"/>
            <w:bookmarkEnd w:id="108"/>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2" w:name="_Toc11497"/>
      <w:bookmarkStart w:id="13" w:name="_Toc91771149"/>
      <w:r>
        <w:rPr>
          <w:rFonts w:hint="eastAsia" w:ascii="宋体" w:hAnsi="宋体"/>
          <w:b/>
          <w:color w:val="auto"/>
          <w:sz w:val="32"/>
          <w:highlight w:val="none"/>
        </w:rPr>
        <w:t>二、总则</w:t>
      </w:r>
      <w:bookmarkEnd w:id="12"/>
      <w:bookmarkEnd w:id="13"/>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7"/>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7"/>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7"/>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7"/>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4" w:name="_Toc91771150"/>
      <w:bookmarkStart w:id="15" w:name="_Toc23931"/>
      <w:r>
        <w:rPr>
          <w:rFonts w:ascii="宋体" w:hAnsi="宋体"/>
          <w:b/>
          <w:color w:val="auto"/>
          <w:sz w:val="32"/>
          <w:highlight w:val="none"/>
        </w:rPr>
        <w:t>三、询价文件</w:t>
      </w:r>
      <w:bookmarkEnd w:id="14"/>
      <w:bookmarkEnd w:id="15"/>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6" w:name="_Toc27425"/>
      <w:bookmarkStart w:id="17" w:name="_Toc91771151"/>
      <w:r>
        <w:rPr>
          <w:rFonts w:ascii="宋体" w:hAnsi="宋体"/>
          <w:b/>
          <w:color w:val="auto"/>
          <w:sz w:val="32"/>
          <w:highlight w:val="none"/>
        </w:rPr>
        <w:t>四、询价响应文件</w:t>
      </w:r>
      <w:bookmarkEnd w:id="16"/>
      <w:bookmarkEnd w:id="17"/>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3"/>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8" w:name="_Toc18831"/>
      <w:bookmarkStart w:id="19" w:name="_Toc91771152"/>
      <w:r>
        <w:rPr>
          <w:rFonts w:ascii="宋体" w:hAnsi="宋体"/>
          <w:b/>
          <w:color w:val="auto"/>
          <w:sz w:val="32"/>
          <w:highlight w:val="none"/>
        </w:rPr>
        <w:t>五、询价及评审过程</w:t>
      </w:r>
      <w:bookmarkEnd w:id="18"/>
      <w:bookmarkEnd w:id="19"/>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20" w:name="_Toc10197"/>
      <w:bookmarkStart w:id="21" w:name="_Toc91771153"/>
      <w:r>
        <w:rPr>
          <w:rFonts w:ascii="宋体" w:hAnsi="宋体"/>
          <w:b/>
          <w:color w:val="auto"/>
          <w:sz w:val="32"/>
          <w:highlight w:val="none"/>
        </w:rPr>
        <w:t>六、成交事项</w:t>
      </w:r>
      <w:bookmarkEnd w:id="20"/>
      <w:bookmarkEnd w:id="21"/>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2" w:name="_Toc12612"/>
      <w:bookmarkStart w:id="23" w:name="_Toc91771154"/>
      <w:r>
        <w:rPr>
          <w:rFonts w:ascii="宋体" w:hAnsi="宋体"/>
          <w:b/>
          <w:color w:val="auto"/>
          <w:sz w:val="32"/>
          <w:highlight w:val="none"/>
        </w:rPr>
        <w:t>七、合同事项</w:t>
      </w:r>
      <w:bookmarkEnd w:id="22"/>
      <w:bookmarkEnd w:id="23"/>
    </w:p>
    <w:p>
      <w:pPr>
        <w:spacing w:line="360" w:lineRule="auto"/>
        <w:rPr>
          <w:b/>
          <w:color w:val="auto"/>
          <w:sz w:val="24"/>
          <w:highlight w:val="none"/>
        </w:rPr>
      </w:pPr>
      <w:bookmarkStart w:id="24" w:name="_Toc101250646"/>
      <w:bookmarkStart w:id="25" w:name="_Toc430773927"/>
      <w:bookmarkStart w:id="26" w:name="_Toc101338364"/>
      <w:bookmarkStart w:id="27" w:name="_Toc101174151"/>
      <w:bookmarkStart w:id="28" w:name="_Toc209847069"/>
      <w:r>
        <w:rPr>
          <w:b/>
          <w:color w:val="auto"/>
          <w:sz w:val="24"/>
          <w:highlight w:val="none"/>
        </w:rPr>
        <w:t>25.签订合同</w:t>
      </w:r>
      <w:bookmarkEnd w:id="24"/>
      <w:bookmarkEnd w:id="25"/>
      <w:bookmarkEnd w:id="26"/>
      <w:bookmarkEnd w:id="27"/>
      <w:bookmarkEnd w:id="28"/>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9" w:name="_Toc13666"/>
      <w:bookmarkStart w:id="30" w:name="_Toc91771155"/>
      <w:r>
        <w:rPr>
          <w:rFonts w:ascii="宋体" w:hAnsi="宋体"/>
          <w:b/>
          <w:color w:val="auto"/>
          <w:sz w:val="32"/>
          <w:highlight w:val="none"/>
        </w:rPr>
        <w:t>八、询价纪律要求</w:t>
      </w:r>
      <w:bookmarkEnd w:id="29"/>
      <w:bookmarkEnd w:id="30"/>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1" w:name="_Toc91771156"/>
      <w:bookmarkStart w:id="32" w:name="_Toc24629"/>
      <w:r>
        <w:rPr>
          <w:rFonts w:ascii="宋体" w:hAnsi="宋体"/>
          <w:b/>
          <w:color w:val="auto"/>
          <w:sz w:val="32"/>
          <w:highlight w:val="none"/>
        </w:rPr>
        <w:t>九、询问、质疑和投诉</w:t>
      </w:r>
      <w:bookmarkEnd w:id="31"/>
      <w:bookmarkEnd w:id="32"/>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3" w:name="_Toc12514"/>
      <w:bookmarkStart w:id="34" w:name="_Toc91771157"/>
      <w:r>
        <w:rPr>
          <w:rFonts w:ascii="宋体" w:hAnsi="宋体"/>
          <w:b/>
          <w:color w:val="auto"/>
          <w:sz w:val="32"/>
          <w:highlight w:val="none"/>
        </w:rPr>
        <w:t>十、其他</w:t>
      </w:r>
      <w:bookmarkEnd w:id="33"/>
      <w:bookmarkEnd w:id="34"/>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5" w:name="_Toc183682369"/>
      <w:bookmarkStart w:id="36" w:name="_Toc217446057"/>
      <w:bookmarkStart w:id="37" w:name="_Toc183582232"/>
      <w:r>
        <w:rPr>
          <w:rFonts w:ascii="黑体" w:hAnsi="黑体" w:eastAsia="黑体"/>
          <w:color w:val="auto"/>
          <w:sz w:val="36"/>
          <w:highlight w:val="none"/>
        </w:rPr>
        <w:br w:type="page"/>
      </w:r>
      <w:bookmarkStart w:id="38" w:name="_Toc91771158"/>
      <w:bookmarkStart w:id="39" w:name="_Toc10074"/>
      <w:r>
        <w:rPr>
          <w:rFonts w:hint="eastAsia" w:ascii="黑体" w:hAnsi="黑体" w:eastAsia="黑体"/>
          <w:color w:val="auto"/>
          <w:sz w:val="36"/>
          <w:highlight w:val="none"/>
        </w:rPr>
        <w:t>第三章 项目技术、服务及商务要求</w:t>
      </w:r>
      <w:bookmarkEnd w:id="38"/>
      <w:bookmarkEnd w:id="39"/>
    </w:p>
    <w:p>
      <w:pPr>
        <w:outlineLvl w:val="1"/>
        <w:rPr>
          <w:rFonts w:hint="eastAsia" w:ascii="宋体" w:hAnsi="宋体"/>
          <w:b/>
          <w:color w:val="auto"/>
          <w:sz w:val="32"/>
          <w:highlight w:val="none"/>
        </w:rPr>
      </w:pPr>
      <w:bookmarkStart w:id="40" w:name="_Toc13995"/>
      <w:bookmarkStart w:id="41" w:name="_Toc91771159"/>
      <w:r>
        <w:rPr>
          <w:rFonts w:hint="eastAsia" w:ascii="宋体" w:hAnsi="宋体"/>
          <w:b/>
          <w:color w:val="auto"/>
          <w:sz w:val="32"/>
          <w:highlight w:val="none"/>
        </w:rPr>
        <w:t>一、项目概况</w:t>
      </w:r>
      <w:bookmarkEnd w:id="40"/>
      <w:bookmarkEnd w:id="41"/>
    </w:p>
    <w:p>
      <w:pPr>
        <w:pStyle w:val="2"/>
        <w:spacing w:after="240" w:afterLines="100"/>
        <w:ind w:firstLine="480" w:firstLineChars="200"/>
        <w:rPr>
          <w:color w:val="auto"/>
          <w:highlight w:val="none"/>
        </w:rPr>
      </w:pPr>
      <w:r>
        <w:rPr>
          <w:rFonts w:hint="eastAsia" w:ascii="Times New Roman" w:hAnsi="Times New Roman" w:eastAsia="宋体" w:cs="Times New Roman"/>
          <w:color w:val="auto"/>
          <w:sz w:val="24"/>
          <w:highlight w:val="none"/>
          <w:lang w:val="en-US" w:eastAsia="zh-CN"/>
        </w:rPr>
        <w:t>我司管理的江阳公园及夜知味范围内绿化面积较大，每年均需使用农药对树木进行虫害防治及治理，现拟采用公开询价方式采购农药供应商，期限一年，预计费用20245元。</w:t>
      </w:r>
    </w:p>
    <w:p>
      <w:pPr>
        <w:outlineLvl w:val="1"/>
        <w:rPr>
          <w:rFonts w:hint="eastAsia" w:ascii="宋体" w:hAnsi="宋体"/>
          <w:b/>
          <w:color w:val="auto"/>
          <w:sz w:val="32"/>
          <w:highlight w:val="none"/>
        </w:rPr>
      </w:pPr>
      <w:bookmarkStart w:id="42" w:name="_Toc91771160"/>
      <w:bookmarkStart w:id="43" w:name="_Toc27647"/>
      <w:r>
        <w:rPr>
          <w:rFonts w:hint="eastAsia" w:ascii="宋体" w:hAnsi="宋体"/>
          <w:b/>
          <w:color w:val="auto"/>
          <w:sz w:val="32"/>
          <w:highlight w:val="none"/>
        </w:rPr>
        <w:t>二、技术</w:t>
      </w:r>
      <w:r>
        <w:rPr>
          <w:rFonts w:hint="eastAsia" w:ascii="宋体" w:hAnsi="宋体"/>
          <w:b/>
          <w:color w:val="auto"/>
          <w:sz w:val="32"/>
          <w:highlight w:val="none"/>
          <w:lang w:val="en-US" w:eastAsia="zh-CN"/>
        </w:rPr>
        <w:t>参数</w:t>
      </w:r>
      <w:r>
        <w:rPr>
          <w:rFonts w:hint="eastAsia" w:ascii="宋体" w:hAnsi="宋体"/>
          <w:b/>
          <w:color w:val="auto"/>
          <w:sz w:val="32"/>
          <w:highlight w:val="none"/>
        </w:rPr>
        <w:t>要求</w:t>
      </w:r>
      <w:bookmarkEnd w:id="42"/>
      <w:bookmarkEnd w:id="43"/>
    </w:p>
    <w:tbl>
      <w:tblPr>
        <w:tblStyle w:val="1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416"/>
        <w:gridCol w:w="1254"/>
        <w:gridCol w:w="1886"/>
        <w:gridCol w:w="1426"/>
        <w:gridCol w:w="878"/>
        <w:gridCol w:w="900"/>
        <w:gridCol w:w="924"/>
        <w:gridCol w:w="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44" w:name="_Toc91771161"/>
            <w:r>
              <w:rPr>
                <w:rFonts w:hint="eastAsia" w:ascii="宋体" w:hAnsi="宋体" w:eastAsia="宋体" w:cs="宋体"/>
                <w:i w:val="0"/>
                <w:iCs w:val="0"/>
                <w:color w:val="000000"/>
                <w:kern w:val="0"/>
                <w:sz w:val="20"/>
                <w:szCs w:val="20"/>
                <w:u w:val="none"/>
                <w:lang w:val="en-US" w:eastAsia="zh-CN" w:bidi="ar"/>
              </w:rPr>
              <w:t>序号</w:t>
            </w:r>
          </w:p>
        </w:tc>
        <w:tc>
          <w:tcPr>
            <w:tcW w:w="2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品类</w:t>
            </w:r>
          </w:p>
        </w:tc>
        <w:tc>
          <w:tcPr>
            <w:tcW w:w="73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10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w:t>
            </w:r>
          </w:p>
        </w:tc>
        <w:tc>
          <w:tcPr>
            <w:tcW w:w="83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p>
        </w:tc>
        <w:tc>
          <w:tcPr>
            <w:tcW w:w="51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2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cs="宋体"/>
                <w:i w:val="0"/>
                <w:iCs w:val="0"/>
                <w:color w:val="000000"/>
                <w:kern w:val="0"/>
                <w:sz w:val="20"/>
                <w:szCs w:val="20"/>
                <w:u w:val="none"/>
                <w:lang w:val="en-US" w:eastAsia="zh-CN" w:bidi="ar"/>
              </w:rPr>
              <w:t>最高限价</w:t>
            </w:r>
            <w:r>
              <w:rPr>
                <w:rFonts w:hint="eastAsia" w:ascii="宋体" w:hAnsi="宋体" w:eastAsia="宋体" w:cs="宋体"/>
                <w:i w:val="0"/>
                <w:iCs w:val="0"/>
                <w:color w:val="000000"/>
                <w:kern w:val="0"/>
                <w:sz w:val="20"/>
                <w:szCs w:val="20"/>
                <w:u w:val="none"/>
                <w:lang w:val="en-US" w:eastAsia="zh-CN" w:bidi="ar"/>
              </w:rPr>
              <w:t>（元）</w:t>
            </w:r>
          </w:p>
        </w:tc>
        <w:tc>
          <w:tcPr>
            <w:tcW w:w="54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总价最高限价</w:t>
            </w:r>
            <w:r>
              <w:rPr>
                <w:rFonts w:hint="eastAsia" w:ascii="宋体" w:hAnsi="宋体" w:eastAsia="宋体" w:cs="宋体"/>
                <w:i w:val="0"/>
                <w:iCs w:val="0"/>
                <w:color w:val="000000"/>
                <w:kern w:val="0"/>
                <w:sz w:val="20"/>
                <w:szCs w:val="20"/>
                <w:u w:val="none"/>
                <w:lang w:val="en-US" w:eastAsia="zh-CN" w:bidi="ar"/>
              </w:rPr>
              <w:t>（元）</w:t>
            </w:r>
          </w:p>
        </w:tc>
        <w:tc>
          <w:tcPr>
            <w:tcW w:w="2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9"/>
                <w:sz w:val="18"/>
                <w:szCs w:val="18"/>
                <w:lang w:val="en-US" w:eastAsia="zh-CN" w:bidi="ar"/>
              </w:rPr>
              <w:t>毒</w:t>
            </w:r>
            <w:r>
              <w:rPr>
                <w:rStyle w:val="30"/>
                <w:sz w:val="18"/>
                <w:szCs w:val="18"/>
                <w:lang w:val="en-US" w:eastAsia="zh-CN" w:bidi="ar"/>
              </w:rPr>
              <w:t>·</w:t>
            </w:r>
            <w:r>
              <w:rPr>
                <w:rStyle w:val="29"/>
                <w:sz w:val="18"/>
                <w:szCs w:val="18"/>
                <w:lang w:val="en-US" w:eastAsia="zh-CN" w:bidi="ar"/>
              </w:rPr>
              <w:t>辛</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含量40%乳油</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200ml/瓶*20瓶/件，</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要求供货商</w:t>
            </w:r>
            <w:r>
              <w:rPr>
                <w:rFonts w:hint="eastAsia" w:ascii="宋体" w:hAnsi="宋体" w:cs="宋体"/>
                <w:i w:val="0"/>
                <w:iCs w:val="0"/>
                <w:color w:val="000000"/>
                <w:kern w:val="0"/>
                <w:sz w:val="18"/>
                <w:szCs w:val="18"/>
                <w:u w:val="none"/>
                <w:lang w:val="en-US" w:eastAsia="zh-CN" w:bidi="ar"/>
              </w:rPr>
              <w:t>对</w:t>
            </w:r>
            <w:r>
              <w:rPr>
                <w:rFonts w:hint="eastAsia" w:ascii="宋体" w:hAnsi="宋体" w:eastAsia="宋体" w:cs="宋体"/>
                <w:i w:val="0"/>
                <w:iCs w:val="0"/>
                <w:color w:val="000000"/>
                <w:kern w:val="0"/>
                <w:sz w:val="18"/>
                <w:szCs w:val="18"/>
                <w:u w:val="none"/>
                <w:lang w:val="en-US" w:eastAsia="zh-CN" w:bidi="ar"/>
              </w:rPr>
              <w:t>使用后</w:t>
            </w:r>
            <w:r>
              <w:rPr>
                <w:rFonts w:hint="eastAsia" w:ascii="宋体" w:hAnsi="宋体" w:cs="宋体"/>
                <w:i w:val="0"/>
                <w:iCs w:val="0"/>
                <w:color w:val="000000"/>
                <w:kern w:val="0"/>
                <w:sz w:val="18"/>
                <w:szCs w:val="18"/>
                <w:u w:val="none"/>
                <w:lang w:val="en-US" w:eastAsia="zh-CN" w:bidi="ar"/>
              </w:rPr>
              <w:t>的</w:t>
            </w:r>
            <w:r>
              <w:rPr>
                <w:rFonts w:hint="eastAsia" w:ascii="宋体" w:hAnsi="宋体" w:eastAsia="宋体" w:cs="宋体"/>
                <w:i w:val="0"/>
                <w:iCs w:val="0"/>
                <w:color w:val="000000"/>
                <w:kern w:val="0"/>
                <w:sz w:val="18"/>
                <w:szCs w:val="18"/>
                <w:u w:val="none"/>
                <w:lang w:val="en-US" w:eastAsia="zh-CN" w:bidi="ar"/>
              </w:rPr>
              <w:t>药品包装进行回收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啶嘧磺隆</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含量25%水分散粒剂</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3g/袋*300包/件</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微量元素</w:t>
            </w:r>
          </w:p>
        </w:tc>
        <w:tc>
          <w:tcPr>
            <w:tcW w:w="1107"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树木吊针营养液</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1L*10袋/件，</w:t>
            </w:r>
          </w:p>
        </w:tc>
        <w:tc>
          <w:tcPr>
            <w:tcW w:w="837"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15" w:type="pct"/>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草铵膦</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含量20%可溶粒剂</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1000g*12瓶/件</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三唑酮</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含量20%乳油</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60g/瓶</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瓶</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2甲4氯钠</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含量56%可湿性粉剂</w:t>
            </w:r>
            <w:r>
              <w:rPr>
                <w:rFonts w:hint="eastAsia" w:ascii="宋体" w:hAnsi="宋体" w:cs="宋体"/>
                <w:i w:val="0"/>
                <w:iCs w:val="0"/>
                <w:color w:val="auto"/>
                <w:kern w:val="0"/>
                <w:sz w:val="18"/>
                <w:szCs w:val="18"/>
                <w:highlight w:val="none"/>
                <w:u w:val="none"/>
                <w:lang w:val="en-US" w:eastAsia="zh-CN" w:bidi="ar"/>
              </w:rPr>
              <w:t>，10g/袋</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环嗪酮</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含量25%可溶液剂</w:t>
            </w:r>
            <w:r>
              <w:rPr>
                <w:rFonts w:hint="eastAsia" w:ascii="宋体" w:hAnsi="宋体" w:cs="宋体"/>
                <w:i w:val="0"/>
                <w:iCs w:val="0"/>
                <w:color w:val="auto"/>
                <w:kern w:val="0"/>
                <w:sz w:val="18"/>
                <w:szCs w:val="18"/>
                <w:highlight w:val="none"/>
                <w:u w:val="none"/>
                <w:lang w:val="en-US" w:eastAsia="zh-CN" w:bidi="ar"/>
              </w:rPr>
              <w:t>，200g/瓶</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环嗪酮</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含量5%颗粒剂</w:t>
            </w:r>
            <w:r>
              <w:rPr>
                <w:rFonts w:hint="eastAsia" w:ascii="宋体" w:hAnsi="宋体" w:cs="宋体"/>
                <w:i w:val="0"/>
                <w:iCs w:val="0"/>
                <w:color w:val="auto"/>
                <w:kern w:val="0"/>
                <w:sz w:val="18"/>
                <w:szCs w:val="18"/>
                <w:highlight w:val="none"/>
                <w:u w:val="none"/>
                <w:lang w:val="en-US" w:eastAsia="zh-CN" w:bidi="ar"/>
              </w:rPr>
              <w:t>，500g/袋</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雄黄（驱蛇粉）</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5斤/袋</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氯氟吡氧乙酸异辛酯</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含量20%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30ml/袋乳油剂</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精草铵膦</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含量20%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100g/瓶可溶液剂</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烯啶</w:t>
            </w:r>
            <w:r>
              <w:rPr>
                <w:rStyle w:val="32"/>
                <w:sz w:val="18"/>
                <w:szCs w:val="18"/>
                <w:lang w:val="en-US" w:eastAsia="zh-CN" w:bidi="ar"/>
              </w:rPr>
              <w:t>·</w:t>
            </w:r>
            <w:r>
              <w:rPr>
                <w:rStyle w:val="31"/>
                <w:sz w:val="18"/>
                <w:szCs w:val="18"/>
                <w:lang w:val="en-US" w:eastAsia="zh-CN" w:bidi="ar"/>
              </w:rPr>
              <w:t>吡蚜酮</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含量80%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水分散粒剂5g/袋</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桃树流胶套装</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1.47%春雷·王铜1袋可湿性粉剂（15克）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2.32.5%苯甲·嘧菌酯1袋悬浮剂(10克)</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草坪专用除草剂</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1.芸苔素内酯0.01%1袋乳油（10ml）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2.2甲4氯钠1袋可湿性粉剂（10克）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3.三氯吡氧乙酸丁氧基乙酯 1袋（10克）乳油≥62%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4.高性能展着剂1袋（5ml）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5.25%啶嘧磺隆1袋水分散粒剂（5克）</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石硫合剂</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含量30%水剂</w:t>
            </w:r>
            <w:r>
              <w:rPr>
                <w:rFonts w:hint="eastAsia" w:ascii="宋体" w:hAnsi="宋体" w:cs="宋体"/>
                <w:i w:val="0"/>
                <w:iCs w:val="0"/>
                <w:color w:val="000000"/>
                <w:kern w:val="0"/>
                <w:sz w:val="18"/>
                <w:szCs w:val="18"/>
                <w:highlight w:val="none"/>
                <w:u w:val="none"/>
                <w:lang w:val="en-US" w:eastAsia="zh-CN" w:bidi="ar"/>
              </w:rPr>
              <w:t>，1000g/瓶</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生根粉</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500g/袋粉剂</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斑点剂（套组）</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1.氟呲菌胺·氰霜唑(20克)悬浮剂≥25%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2.0.01%芸苔素内酯乳油1袋（10ml）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3.50%甲霜·锰锌1袋可湿性粉剂（30克）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4.30%肟茵·戊唑醇1袋悬浮剂（15克）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5.微量元素水溶肥料Cu+Mn+Zn+B≥100g/L(25克)</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蚂蚁药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（套装）</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1.虫螨.茚虫威10%悬浮剂(20克)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2.10%高效氯氟氰菊酯1瓶微囊悬浮剂(18克)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3.吡丙醚1袋（10毫升）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4.50%毒死蜱乳油(30ml)</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44" w:type="pct"/>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化肥</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含氮量≥45%</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80斤/袋</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44" w:type="pct"/>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复合肥</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总养分≥45%氮磷钾15:15:15颗粒剂</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25kg/袋</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袋</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3354</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20245</w:t>
            </w: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注</w:t>
      </w:r>
      <w:r>
        <w:rPr>
          <w:rFonts w:hint="eastAsia" w:ascii="宋体" w:hAnsi="宋体" w:cs="宋体"/>
          <w:bCs/>
          <w:sz w:val="24"/>
          <w:highlight w:val="none"/>
          <w:lang w:val="en-US" w:eastAsia="zh-CN"/>
        </w:rPr>
        <w:t>：</w:t>
      </w:r>
      <w:r>
        <w:rPr>
          <w:rFonts w:hint="eastAsia" w:cs="宋体"/>
          <w:sz w:val="24"/>
          <w:szCs w:val="24"/>
          <w:highlight w:val="none"/>
          <w:lang w:val="en-US" w:eastAsia="zh-CN"/>
        </w:rPr>
        <w:t>1.表内数量为暂定数量，最终结算以实际产生为准。</w:t>
      </w:r>
    </w:p>
    <w:p>
      <w:pPr>
        <w:outlineLvl w:val="1"/>
        <w:rPr>
          <w:rFonts w:hint="eastAsia" w:ascii="宋体" w:hAnsi="宋体"/>
          <w:b/>
          <w:color w:val="auto"/>
          <w:sz w:val="32"/>
          <w:highlight w:val="none"/>
        </w:rPr>
      </w:pPr>
      <w:bookmarkStart w:id="45" w:name="_Toc12250"/>
      <w:r>
        <w:rPr>
          <w:rFonts w:hint="eastAsia" w:ascii="宋体" w:hAnsi="宋体"/>
          <w:b/>
          <w:color w:val="auto"/>
          <w:sz w:val="32"/>
          <w:highlight w:val="none"/>
        </w:rPr>
        <w:t>三、服务要求</w:t>
      </w:r>
      <w:bookmarkEnd w:id="44"/>
      <w:bookmarkEnd w:id="45"/>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1.供货商提供产品合格证明，必须符合国家标准（无国标的按行业标准、企业标准，以此类推）。如供应商提供假冒伪劣产品，采购人有权要求停止供货或拒收，并向相关部门进行举报。</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2.供应商交货时提供的农药化肥等生产日期在最近</w:t>
      </w:r>
      <w:r>
        <w:rPr>
          <w:rFonts w:hint="eastAsia" w:ascii="宋体" w:hAnsi="宋体" w:cs="宋体"/>
          <w:bCs/>
          <w:sz w:val="24"/>
          <w:highlight w:val="none"/>
          <w:lang w:val="en-US" w:eastAsia="zh-CN"/>
        </w:rPr>
        <w:t>10</w:t>
      </w:r>
      <w:r>
        <w:rPr>
          <w:rFonts w:hint="eastAsia" w:ascii="宋体" w:hAnsi="宋体" w:eastAsia="宋体" w:cs="宋体"/>
          <w:bCs/>
          <w:sz w:val="24"/>
          <w:highlight w:val="none"/>
          <w:lang w:val="en-US" w:eastAsia="zh-CN"/>
        </w:rPr>
        <w:t>个月内。</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3.交货过程中如发现漏袋、损坏等质量不合格情况，供应商应免费无条件、快速的予以更换；否则，采购人有权拒绝收货。</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4.供应商经营产品如出现严重质量问题，暂停供应商供货，并追究相关法律责任。</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5.成交供应商须指派专人负责与采购人联系供货及售后服务事宜。</w:t>
      </w:r>
    </w:p>
    <w:p>
      <w:pPr>
        <w:spacing w:line="360" w:lineRule="auto"/>
        <w:ind w:firstLine="240" w:firstLineChars="1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6.供货时所有药品及肥料均需提供产品检验报告或合格证。</w:t>
      </w:r>
    </w:p>
    <w:p>
      <w:pPr>
        <w:pStyle w:val="2"/>
        <w:ind w:firstLine="240" w:firstLineChars="1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7.供应商需对采购人使用后的药品包装进行回收处理。</w:t>
      </w:r>
    </w:p>
    <w:p>
      <w:pPr>
        <w:pStyle w:val="2"/>
        <w:ind w:firstLine="240" w:firstLineChars="100"/>
        <w:rPr>
          <w:rFonts w:hint="eastAsia"/>
          <w:color w:val="auto"/>
          <w:sz w:val="24"/>
          <w:highlight w:val="none"/>
          <w:lang w:val="en-US" w:eastAsia="zh-CN"/>
        </w:rPr>
      </w:pPr>
      <w:r>
        <w:rPr>
          <w:rFonts w:hint="eastAsia"/>
          <w:color w:val="auto"/>
          <w:sz w:val="24"/>
          <w:highlight w:val="none"/>
          <w:lang w:val="en-US" w:eastAsia="zh-CN"/>
        </w:rPr>
        <w:t>8.本项目提供的有机肥符合以下标准：</w:t>
      </w:r>
    </w:p>
    <w:p>
      <w:pPr>
        <w:pStyle w:val="2"/>
        <w:ind w:firstLine="480"/>
        <w:rPr>
          <w:rFonts w:hint="eastAsia"/>
          <w:color w:val="auto"/>
          <w:sz w:val="24"/>
          <w:highlight w:val="none"/>
          <w:lang w:val="en-US" w:eastAsia="zh-CN"/>
        </w:rPr>
      </w:pPr>
      <w:r>
        <w:rPr>
          <w:rFonts w:hint="eastAsia"/>
          <w:color w:val="auto"/>
          <w:sz w:val="24"/>
          <w:highlight w:val="none"/>
          <w:lang w:val="en-US" w:eastAsia="zh-CN"/>
        </w:rPr>
        <w:t>8.1生物有机肥执行标准:NY884-2012及无害化指标，粪大肠菌群数≤100个/g蛔虫卵死亡率&gt;95%。</w:t>
      </w:r>
    </w:p>
    <w:p>
      <w:pPr>
        <w:pStyle w:val="2"/>
        <w:ind w:firstLine="480"/>
        <w:rPr>
          <w:rFonts w:hint="eastAsia"/>
          <w:color w:val="auto"/>
          <w:sz w:val="24"/>
          <w:highlight w:val="none"/>
          <w:lang w:val="en-US" w:eastAsia="zh-CN"/>
        </w:rPr>
      </w:pPr>
      <w:r>
        <w:rPr>
          <w:rFonts w:hint="eastAsia"/>
          <w:color w:val="auto"/>
          <w:sz w:val="24"/>
          <w:highlight w:val="none"/>
          <w:lang w:val="en-US" w:eastAsia="zh-CN"/>
        </w:rPr>
        <w:t>8.2</w:t>
      </w:r>
      <w:r>
        <w:rPr>
          <w:rFonts w:hint="eastAsia" w:ascii="Times New Roman" w:hAnsi="Times New Roman" w:eastAsia="宋体" w:cs="Times New Roman"/>
          <w:color w:val="auto"/>
          <w:kern w:val="2"/>
          <w:sz w:val="24"/>
          <w:szCs w:val="24"/>
          <w:highlight w:val="none"/>
          <w:lang w:val="en-US" w:eastAsia="zh-CN" w:bidi="ar-SA"/>
        </w:rPr>
        <w:t>重金属限量指标: (1) (pd) (以烘干基计)&lt;50mg/kg;(2) (cd)(以烘干基计)&lt;3mg/kg;(3)铬 (cr) (以烘干基计)≤150mg/kg;(4)砷 (As)(以烘干基计≤15mg/ka;(5)汞(Hg) (以烘千基计)2mg/kg。</w:t>
      </w:r>
    </w:p>
    <w:p>
      <w:pPr>
        <w:pStyle w:val="2"/>
        <w:ind w:firstLine="48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8.3</w:t>
      </w:r>
      <w:r>
        <w:rPr>
          <w:rFonts w:hint="eastAsia" w:ascii="Times New Roman" w:hAnsi="Times New Roman" w:eastAsia="宋体" w:cs="Times New Roman"/>
          <w:color w:val="auto"/>
          <w:kern w:val="2"/>
          <w:sz w:val="24"/>
          <w:szCs w:val="24"/>
          <w:highlight w:val="none"/>
          <w:lang w:val="en-US" w:eastAsia="zh-CN" w:bidi="ar-SA"/>
        </w:rPr>
        <w:t>外观颜色为褐色或灰褐色，粒状，均匀，无恶臭，无机械杂质。禁止选用粉煤灰，钢渣，污泥，生活垃圾，含有外来入侵物种的物料和法律法规禁止的物料等存在安全隐患的禁用类原料。</w:t>
      </w:r>
    </w:p>
    <w:p>
      <w:pPr>
        <w:pStyle w:val="2"/>
        <w:numPr>
          <w:ilvl w:val="0"/>
          <w:numId w:val="1"/>
        </w:numPr>
        <w:ind w:firstLine="480"/>
        <w:rPr>
          <w:rFonts w:hint="default" w:ascii="Times New Roman" w:hAnsi="Times New Roman" w:eastAsia="宋体" w:cs="Times New Roman"/>
          <w:color w:val="auto"/>
          <w:kern w:val="2"/>
          <w:sz w:val="24"/>
          <w:szCs w:val="24"/>
          <w:highlight w:val="none"/>
          <w:lang w:val="en-US" w:eastAsia="zh-CN" w:bidi="ar-SA"/>
        </w:rPr>
      </w:pPr>
      <w:bookmarkStart w:id="46" w:name="OLE_LINK2"/>
      <w:r>
        <w:rPr>
          <w:rFonts w:hint="eastAsia" w:ascii="宋体" w:hAnsi="宋体" w:eastAsia="宋体" w:cs="宋体"/>
          <w:bCs/>
          <w:color w:val="auto"/>
          <w:sz w:val="24"/>
          <w:highlight w:val="none"/>
          <w:lang w:val="en-US" w:eastAsia="zh-CN"/>
        </w:rPr>
        <w:t>供</w:t>
      </w:r>
      <w:r>
        <w:rPr>
          <w:rFonts w:hint="eastAsia" w:ascii="宋体" w:hAnsi="宋体" w:cs="宋体"/>
          <w:bCs/>
          <w:color w:val="auto"/>
          <w:sz w:val="24"/>
          <w:highlight w:val="none"/>
          <w:lang w:val="en-US" w:eastAsia="zh-CN"/>
        </w:rPr>
        <w:t>应</w:t>
      </w:r>
      <w:r>
        <w:rPr>
          <w:rFonts w:hint="eastAsia" w:ascii="宋体" w:hAnsi="宋体" w:eastAsia="宋体" w:cs="宋体"/>
          <w:bCs/>
          <w:color w:val="auto"/>
          <w:sz w:val="24"/>
          <w:highlight w:val="none"/>
          <w:lang w:val="en-US" w:eastAsia="zh-CN"/>
        </w:rPr>
        <w:t>商中选后，需要提供参数表中每一种农药2种以上具有同一药性但不同的品牌农药，便于使用过程中植物产生抗药性能替换使用，不同品牌的最终结算单价均按投标单价计算。</w:t>
      </w:r>
    </w:p>
    <w:p>
      <w:pPr>
        <w:pStyle w:val="2"/>
        <w:numPr>
          <w:ilvl w:val="0"/>
          <w:numId w:val="1"/>
        </w:numPr>
        <w:ind w:firstLine="480"/>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kern w:val="2"/>
          <w:sz w:val="24"/>
          <w:szCs w:val="24"/>
          <w:lang w:val="en-US" w:eastAsia="zh-CN" w:bidi="ar-SA"/>
        </w:rPr>
        <w:t>农药需要提供生产厂家农药登记证复印件或中华人民共和国农业农村部htps://www.icama.cn/Basicdatasystemplanting/guerypesticide.do备案截图</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化肥需要提供生产厂家肥料登记证复印件或中华人民共和国农业农村部https://fyw.agri.cn/publicvue/#/Ministerial guery备案截图。</w:t>
      </w:r>
    </w:p>
    <w:bookmarkEnd w:id="46"/>
    <w:p>
      <w:pPr>
        <w:outlineLvl w:val="1"/>
        <w:rPr>
          <w:rFonts w:hint="eastAsia" w:ascii="宋体" w:hAnsi="宋体"/>
          <w:b/>
          <w:color w:val="auto"/>
          <w:sz w:val="32"/>
          <w:highlight w:val="none"/>
        </w:rPr>
      </w:pPr>
      <w:bookmarkStart w:id="47" w:name="_Toc20399"/>
      <w:bookmarkStart w:id="48" w:name="_Toc91771162"/>
      <w:r>
        <w:rPr>
          <w:rFonts w:hint="eastAsia" w:ascii="宋体" w:hAnsi="宋体"/>
          <w:b/>
          <w:color w:val="auto"/>
          <w:sz w:val="32"/>
          <w:highlight w:val="none"/>
        </w:rPr>
        <w:t>四、商务要求</w:t>
      </w:r>
      <w:bookmarkEnd w:id="47"/>
      <w:bookmarkEnd w:id="48"/>
    </w:p>
    <w:p>
      <w:pPr>
        <w:pStyle w:val="5"/>
        <w:numPr>
          <w:ilvl w:val="0"/>
          <w:numId w:val="0"/>
        </w:numPr>
        <w:ind w:leftChars="0"/>
        <w:rPr>
          <w:rFonts w:hint="default"/>
          <w:color w:val="auto"/>
          <w:sz w:val="24"/>
          <w:szCs w:val="32"/>
          <w:lang w:val="en-US" w:eastAsia="zh-CN"/>
        </w:rPr>
      </w:pPr>
      <w:r>
        <w:rPr>
          <w:rFonts w:hint="eastAsia"/>
          <w:sz w:val="24"/>
          <w:szCs w:val="32"/>
          <w:lang w:val="en-US" w:eastAsia="zh-CN"/>
        </w:rPr>
        <w:t>支付方式：</w:t>
      </w:r>
      <w:bookmarkStart w:id="49" w:name="OLE_LINK3"/>
      <w:r>
        <w:rPr>
          <w:rFonts w:hint="eastAsia"/>
          <w:color w:val="auto"/>
          <w:sz w:val="24"/>
          <w:szCs w:val="32"/>
          <w:lang w:val="en-US" w:eastAsia="zh-CN"/>
        </w:rPr>
        <w:t>每次供货完成并验收合格后30个工作日内一次性支付当期货款。每次付款前应向采购人开具等额、有效的增值税专用发票，否则，采购人有权迟延支付货物款项，且不承担迟延付款的违约责任。</w:t>
      </w:r>
    </w:p>
    <w:bookmarkEnd w:id="49"/>
    <w:p>
      <w:pPr>
        <w:spacing w:after="240" w:afterLines="100"/>
        <w:ind w:firstLine="643" w:firstLineChars="200"/>
        <w:rPr>
          <w:rFonts w:ascii="宋体" w:hAnsi="宋体"/>
          <w:b/>
          <w:color w:val="auto"/>
          <w:sz w:val="32"/>
          <w:szCs w:val="32"/>
          <w:highlight w:val="none"/>
        </w:rPr>
      </w:pPr>
    </w:p>
    <w:p>
      <w:pPr>
        <w:tabs>
          <w:tab w:val="left" w:pos="7665"/>
        </w:tabs>
        <w:spacing w:line="400" w:lineRule="exact"/>
        <w:ind w:firstLine="480"/>
        <w:rPr>
          <w:rFonts w:hint="eastAsia" w:ascii="宋体" w:hAnsi="宋体"/>
          <w:bCs/>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50" w:name="_Toc10545"/>
      <w:bookmarkStart w:id="51" w:name="_Toc91771163"/>
      <w:r>
        <w:rPr>
          <w:rFonts w:hint="eastAsia" w:ascii="黑体" w:hAnsi="黑体" w:eastAsia="黑体"/>
          <w:color w:val="auto"/>
          <w:sz w:val="36"/>
          <w:highlight w:val="none"/>
        </w:rPr>
        <w:t>第四章 响应文件格式</w:t>
      </w:r>
      <w:bookmarkEnd w:id="50"/>
      <w:bookmarkEnd w:id="51"/>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XYCG【2025】016</w:t>
      </w:r>
      <w:r>
        <w:rPr>
          <w:rFonts w:hint="eastAsia" w:ascii="宋体"/>
          <w:b/>
          <w:color w:val="auto"/>
          <w:sz w:val="32"/>
          <w:szCs w:val="32"/>
          <w:highlight w:val="none"/>
        </w:rPr>
        <w:t>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2" w:name="_Toc16410"/>
      <w:bookmarkStart w:id="53" w:name="_Toc91771164"/>
      <w:r>
        <w:rPr>
          <w:rFonts w:hint="eastAsia" w:ascii="黑体" w:hAnsi="黑体" w:eastAsia="黑体" w:cs="Arial"/>
          <w:bCs/>
          <w:color w:val="auto"/>
          <w:sz w:val="32"/>
          <w:szCs w:val="32"/>
          <w:highlight w:val="none"/>
        </w:rPr>
        <w:t>一、报价函</w:t>
      </w:r>
      <w:bookmarkEnd w:id="52"/>
      <w:bookmarkEnd w:id="53"/>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w:t>
      </w:r>
      <w:r>
        <w:rPr>
          <w:rFonts w:hint="eastAsia"/>
          <w:color w:val="auto"/>
          <w:sz w:val="24"/>
          <w:highlight w:val="none"/>
          <w:u w:val="single"/>
          <w:lang w:val="en-US" w:eastAsia="zh-CN"/>
        </w:rPr>
        <w:t xml:space="preserve">    </w:t>
      </w:r>
      <w:r>
        <w:rPr>
          <w:rFonts w:hint="eastAsia"/>
          <w:color w:val="auto"/>
          <w:sz w:val="24"/>
          <w:highlight w:val="none"/>
          <w:lang w:val="en-US" w:eastAsia="zh-CN"/>
        </w:rPr>
        <w:t>%）</w:t>
      </w:r>
      <w:r>
        <w:rPr>
          <w:color w:val="auto"/>
          <w:sz w:val="24"/>
          <w:highlight w:val="none"/>
        </w:rPr>
        <w:t>，报价有效期为询价文件规定的起算之日起90天。</w:t>
      </w:r>
    </w:p>
    <w:p>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8.服务期限(工期)：合同签订后</w:t>
      </w:r>
      <w:r>
        <w:rPr>
          <w:rFonts w:hint="eastAsia" w:ascii="Times New Roman"/>
          <w:color w:val="auto"/>
          <w:sz w:val="24"/>
          <w:highlight w:val="none"/>
          <w:u w:val="single"/>
          <w:lang w:val="en-US" w:eastAsia="zh-CN"/>
        </w:rPr>
        <w:t>1年</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4" w:name="_Toc26053"/>
      <w:bookmarkStart w:id="55" w:name="_Toc91771165"/>
      <w:r>
        <w:rPr>
          <w:rFonts w:hint="eastAsia" w:ascii="黑体" w:hAnsi="黑体" w:eastAsia="黑体" w:cs="Arial"/>
          <w:bCs/>
          <w:color w:val="auto"/>
          <w:sz w:val="32"/>
          <w:szCs w:val="32"/>
          <w:highlight w:val="none"/>
        </w:rPr>
        <w:t>二、资格证明材料</w:t>
      </w:r>
      <w:bookmarkEnd w:id="54"/>
      <w:bookmarkEnd w:id="55"/>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eastAsia="宋体" w:cs="Times New Roman"/>
          <w:sz w:val="24"/>
          <w:highlight w:val="none"/>
        </w:rPr>
      </w:pPr>
      <w:r>
        <w:rPr>
          <w:rFonts w:hint="eastAsia" w:ascii="宋体" w:hAnsi="宋体" w:cs="Times New Roman"/>
          <w:sz w:val="24"/>
          <w:highlight w:val="none"/>
          <w:lang w:val="en-US" w:eastAsia="zh-CN"/>
        </w:rPr>
        <w:t>2</w:t>
      </w:r>
      <w:r>
        <w:rPr>
          <w:rFonts w:hint="eastAsia" w:ascii="宋体" w:hAnsi="宋体" w:eastAsia="宋体" w:cs="Times New Roman"/>
          <w:sz w:val="24"/>
          <w:highlight w:val="none"/>
          <w:lang w:val="en-US" w:eastAsia="zh-CN"/>
        </w:rPr>
        <w:t>、</w:t>
      </w:r>
      <w:r>
        <w:rPr>
          <w:rFonts w:hint="eastAsia" w:ascii="宋体" w:hAnsi="宋体" w:eastAsia="宋体" w:cs="Times New Roman"/>
          <w:sz w:val="24"/>
          <w:highlight w:val="none"/>
          <w:lang w:eastAsia="zh-CN"/>
        </w:rPr>
        <w:t>供应商需提供有效期内的《农药经营许可证》复印件</w:t>
      </w:r>
      <w:r>
        <w:rPr>
          <w:rFonts w:hint="eastAsia" w:ascii="宋体" w:hAnsi="宋体" w:eastAsia="宋体" w:cs="Times New Roman"/>
          <w:sz w:val="24"/>
          <w:highlight w:val="none"/>
        </w:rPr>
        <w:t>（加盖公章）。</w:t>
      </w:r>
    </w:p>
    <w:p>
      <w:pPr>
        <w:adjustRightInd w:val="0"/>
        <w:spacing w:line="360" w:lineRule="auto"/>
        <w:ind w:firstLine="480" w:firstLineChars="200"/>
        <w:jc w:val="left"/>
        <w:rPr>
          <w:rFonts w:hint="eastAsia" w:ascii="宋体" w:hAnsi="宋体" w:eastAsia="宋体" w:cs="Times New Roman"/>
          <w:sz w:val="24"/>
          <w:highlight w:val="none"/>
          <w:lang w:val="en-US" w:eastAsia="zh-CN"/>
        </w:rPr>
      </w:pPr>
      <w:r>
        <w:rPr>
          <w:rFonts w:hint="eastAsia" w:ascii="宋体" w:hAnsi="宋体" w:cs="Times New Roman"/>
          <w:sz w:val="24"/>
          <w:highlight w:val="none"/>
          <w:lang w:val="en-US" w:eastAsia="zh-CN"/>
        </w:rPr>
        <w:t>3</w:t>
      </w:r>
      <w:r>
        <w:rPr>
          <w:rFonts w:hint="eastAsia" w:ascii="宋体" w:hAnsi="宋体" w:eastAsia="宋体" w:cs="Times New Roman"/>
          <w:sz w:val="24"/>
          <w:highlight w:val="none"/>
          <w:lang w:val="en-US" w:eastAsia="zh-CN"/>
        </w:rPr>
        <w:t>、农药需要提供生产厂家农药登记证复印件或中华人民共和国农业农村部https://www.icama.cn/BasicdataSystem/planting/queryPesticide.do备案截图。</w:t>
      </w:r>
    </w:p>
    <w:p>
      <w:pPr>
        <w:adjustRightInd w:val="0"/>
        <w:spacing w:line="360" w:lineRule="auto"/>
        <w:ind w:firstLine="480" w:firstLineChars="200"/>
        <w:jc w:val="left"/>
        <w:rPr>
          <w:rFonts w:hint="eastAsia"/>
        </w:rPr>
      </w:pPr>
      <w:r>
        <w:rPr>
          <w:rFonts w:hint="eastAsia" w:ascii="宋体" w:hAnsi="宋体" w:cs="Times New Roman"/>
          <w:sz w:val="24"/>
          <w:highlight w:val="none"/>
          <w:lang w:val="en-US" w:eastAsia="zh-CN"/>
        </w:rPr>
        <w:t>4</w:t>
      </w:r>
      <w:r>
        <w:rPr>
          <w:rFonts w:hint="eastAsia" w:ascii="宋体" w:hAnsi="宋体" w:eastAsia="宋体" w:cs="Times New Roman"/>
          <w:sz w:val="24"/>
          <w:highlight w:val="none"/>
          <w:lang w:val="en-US" w:eastAsia="zh-CN"/>
        </w:rPr>
        <w:t>、化肥需要提供生产厂家肥料登记证复印件或中华人民共和国农业农村部https://flyw.agri.cn/publicvue/#/Ministerial_query备案截图。</w:t>
      </w:r>
    </w:p>
    <w:p>
      <w:pPr>
        <w:pStyle w:val="2"/>
        <w:rPr>
          <w:rFonts w:hint="eastAsia"/>
        </w:rPr>
      </w:pPr>
    </w:p>
    <w:p>
      <w:pPr>
        <w:pStyle w:val="2"/>
        <w:rPr>
          <w:color w:val="auto"/>
          <w:highlight w:val="none"/>
        </w:rPr>
      </w:pPr>
    </w:p>
    <w:p>
      <w:pPr>
        <w:pStyle w:val="2"/>
        <w:rPr>
          <w:rFonts w:hint="eastAsia"/>
          <w:color w:val="auto"/>
          <w:highlight w:val="none"/>
        </w:rPr>
      </w:pPr>
    </w:p>
    <w:p>
      <w:pPr>
        <w:pStyle w:val="2"/>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6" w:name="_Toc30589"/>
      <w:bookmarkStart w:id="57"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6"/>
      <w:bookmarkEnd w:id="57"/>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3"/>
        <w:rPr>
          <w:rFonts w:hint="eastAsia" w:ascii="Times New Roman" w:hAnsi="Times New Roman" w:eastAsia="宋体" w:cs="Times New Roman"/>
          <w:color w:val="auto"/>
          <w:kern w:val="2"/>
          <w:sz w:val="24"/>
          <w:szCs w:val="24"/>
          <w:highlight w:val="none"/>
          <w:lang w:val="en-US" w:eastAsia="zh-CN" w:bidi="ar-SA"/>
        </w:rPr>
      </w:pPr>
      <w:bookmarkStart w:id="58" w:name="_Toc1340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8"/>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9" w:name="_Toc91771167"/>
      <w:bookmarkStart w:id="60" w:name="_Toc31010"/>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9"/>
      <w:bookmarkEnd w:id="60"/>
    </w:p>
    <w:tbl>
      <w:tblPr>
        <w:tblStyle w:val="18"/>
        <w:tblW w:w="522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416"/>
        <w:gridCol w:w="1254"/>
        <w:gridCol w:w="1886"/>
        <w:gridCol w:w="1426"/>
        <w:gridCol w:w="878"/>
        <w:gridCol w:w="900"/>
        <w:gridCol w:w="924"/>
        <w:gridCol w:w="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trPr>
        <w:tc>
          <w:tcPr>
            <w:tcW w:w="23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3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品类</w:t>
            </w:r>
          </w:p>
        </w:tc>
        <w:tc>
          <w:tcPr>
            <w:tcW w:w="70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05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w:t>
            </w:r>
          </w:p>
        </w:tc>
        <w:tc>
          <w:tcPr>
            <w:tcW w:w="80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p>
        </w:tc>
        <w:tc>
          <w:tcPr>
            <w:tcW w:w="49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0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51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合计（元）</w:t>
            </w:r>
          </w:p>
        </w:tc>
        <w:tc>
          <w:tcPr>
            <w:tcW w:w="451"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9"/>
                <w:sz w:val="18"/>
                <w:szCs w:val="18"/>
                <w:lang w:val="en-US" w:eastAsia="zh-CN" w:bidi="ar"/>
              </w:rPr>
              <w:t>毒</w:t>
            </w:r>
            <w:r>
              <w:rPr>
                <w:rStyle w:val="30"/>
                <w:sz w:val="18"/>
                <w:szCs w:val="18"/>
                <w:lang w:val="en-US" w:eastAsia="zh-CN" w:bidi="ar"/>
              </w:rPr>
              <w:t>·</w:t>
            </w:r>
            <w:r>
              <w:rPr>
                <w:rStyle w:val="29"/>
                <w:sz w:val="18"/>
                <w:szCs w:val="18"/>
                <w:lang w:val="en-US" w:eastAsia="zh-CN" w:bidi="ar"/>
              </w:rPr>
              <w:t>辛</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含量40%乳油</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200ml/瓶*20瓶/件，</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要求供货商</w:t>
            </w:r>
            <w:r>
              <w:rPr>
                <w:rFonts w:hint="eastAsia" w:ascii="宋体" w:hAnsi="宋体" w:cs="宋体"/>
                <w:i w:val="0"/>
                <w:iCs w:val="0"/>
                <w:color w:val="000000"/>
                <w:kern w:val="0"/>
                <w:sz w:val="18"/>
                <w:szCs w:val="18"/>
                <w:u w:val="none"/>
                <w:lang w:val="en-US" w:eastAsia="zh-CN" w:bidi="ar"/>
              </w:rPr>
              <w:t>对</w:t>
            </w:r>
            <w:r>
              <w:rPr>
                <w:rFonts w:hint="eastAsia" w:ascii="宋体" w:hAnsi="宋体" w:eastAsia="宋体" w:cs="宋体"/>
                <w:i w:val="0"/>
                <w:iCs w:val="0"/>
                <w:color w:val="000000"/>
                <w:kern w:val="0"/>
                <w:sz w:val="18"/>
                <w:szCs w:val="18"/>
                <w:u w:val="none"/>
                <w:lang w:val="en-US" w:eastAsia="zh-CN" w:bidi="ar"/>
              </w:rPr>
              <w:t>使用后</w:t>
            </w:r>
            <w:r>
              <w:rPr>
                <w:rFonts w:hint="eastAsia" w:ascii="宋体" w:hAnsi="宋体" w:cs="宋体"/>
                <w:i w:val="0"/>
                <w:iCs w:val="0"/>
                <w:color w:val="000000"/>
                <w:kern w:val="0"/>
                <w:sz w:val="18"/>
                <w:szCs w:val="18"/>
                <w:u w:val="none"/>
                <w:lang w:val="en-US" w:eastAsia="zh-CN" w:bidi="ar"/>
              </w:rPr>
              <w:t>的</w:t>
            </w:r>
            <w:r>
              <w:rPr>
                <w:rFonts w:hint="eastAsia" w:ascii="宋体" w:hAnsi="宋体" w:eastAsia="宋体" w:cs="宋体"/>
                <w:i w:val="0"/>
                <w:iCs w:val="0"/>
                <w:color w:val="000000"/>
                <w:kern w:val="0"/>
                <w:sz w:val="18"/>
                <w:szCs w:val="18"/>
                <w:u w:val="none"/>
                <w:lang w:val="en-US" w:eastAsia="zh-CN" w:bidi="ar"/>
              </w:rPr>
              <w:t>药品包装进行回收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啶嘧磺隆</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含量25%水分散粒剂</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3g/袋*300包/件</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微量元素</w:t>
            </w:r>
          </w:p>
        </w:tc>
        <w:tc>
          <w:tcPr>
            <w:tcW w:w="1058"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树木吊针营养液</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1L*10袋/件，</w:t>
            </w:r>
          </w:p>
        </w:tc>
        <w:tc>
          <w:tcPr>
            <w:tcW w:w="80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92" w:type="pct"/>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草铵膦</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含量20%可溶粒剂</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1000g*12瓶/件</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三唑酮</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含量20%乳油</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60g/瓶</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瓶</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2甲4氯钠</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含量56%可湿性粉剂</w:t>
            </w:r>
            <w:r>
              <w:rPr>
                <w:rFonts w:hint="eastAsia" w:ascii="宋体" w:hAnsi="宋体" w:cs="宋体"/>
                <w:i w:val="0"/>
                <w:iCs w:val="0"/>
                <w:color w:val="000000"/>
                <w:kern w:val="0"/>
                <w:sz w:val="18"/>
                <w:szCs w:val="18"/>
                <w:highlight w:val="none"/>
                <w:u w:val="none"/>
                <w:lang w:val="en-US" w:eastAsia="zh-CN" w:bidi="ar"/>
              </w:rPr>
              <w:t>，10g/袋</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环嗪酮</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含量25%可溶液剂</w:t>
            </w:r>
            <w:r>
              <w:rPr>
                <w:rFonts w:hint="eastAsia" w:ascii="宋体" w:hAnsi="宋体" w:cs="宋体"/>
                <w:i w:val="0"/>
                <w:iCs w:val="0"/>
                <w:color w:val="000000"/>
                <w:kern w:val="0"/>
                <w:sz w:val="18"/>
                <w:szCs w:val="18"/>
                <w:highlight w:val="none"/>
                <w:u w:val="none"/>
                <w:lang w:val="en-US" w:eastAsia="zh-CN" w:bidi="ar"/>
              </w:rPr>
              <w:t>，200g/瓶</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环嗪酮</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含量5%颗粒剂</w:t>
            </w:r>
            <w:r>
              <w:rPr>
                <w:rFonts w:hint="eastAsia" w:ascii="宋体" w:hAnsi="宋体" w:cs="宋体"/>
                <w:i w:val="0"/>
                <w:iCs w:val="0"/>
                <w:color w:val="000000"/>
                <w:kern w:val="0"/>
                <w:sz w:val="18"/>
                <w:szCs w:val="18"/>
                <w:highlight w:val="none"/>
                <w:u w:val="none"/>
                <w:lang w:val="en-US" w:eastAsia="zh-CN" w:bidi="ar"/>
              </w:rPr>
              <w:t>，500g/袋</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雄黄（驱蛇粉）</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5斤/袋</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氯氟吡氧乙酸异辛酯</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含量20%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30ml/袋乳油剂</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精草铵膦</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含量20%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100g/瓶可溶液剂</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1"/>
                <w:sz w:val="18"/>
                <w:szCs w:val="18"/>
                <w:lang w:val="en-US" w:eastAsia="zh-CN" w:bidi="ar"/>
              </w:rPr>
              <w:t>烯啶</w:t>
            </w:r>
            <w:r>
              <w:rPr>
                <w:rStyle w:val="32"/>
                <w:sz w:val="18"/>
                <w:szCs w:val="18"/>
                <w:lang w:val="en-US" w:eastAsia="zh-CN" w:bidi="ar"/>
              </w:rPr>
              <w:t>·</w:t>
            </w:r>
            <w:r>
              <w:rPr>
                <w:rStyle w:val="31"/>
                <w:sz w:val="18"/>
                <w:szCs w:val="18"/>
                <w:lang w:val="en-US" w:eastAsia="zh-CN" w:bidi="ar"/>
              </w:rPr>
              <w:t>吡蚜酮</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含量80%</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水分散粒剂5g/袋</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6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桃树流胶套装</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1.47%春雷·王铜1袋可湿性粉剂（15克）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2.32.5%苯甲·嘧菌酯1袋悬浮剂(10克)</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草坪专用除草剂</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1.芸苔素内酯0.01%1袋乳油（10ml）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2.2甲4氯钠1袋可湿性粉剂（10克）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3.三氯吡氧乙酸丁氧基乙酯 1袋（10克）乳油≥62%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4.高性能展着剂1袋（5ml）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5.25%啶嘧磺隆1袋水分散粒剂（5克）</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石硫合剂</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含量30%水剂</w:t>
            </w:r>
            <w:r>
              <w:rPr>
                <w:rFonts w:hint="eastAsia" w:ascii="宋体" w:hAnsi="宋体" w:cs="宋体"/>
                <w:i w:val="0"/>
                <w:iCs w:val="0"/>
                <w:color w:val="000000"/>
                <w:kern w:val="0"/>
                <w:sz w:val="18"/>
                <w:szCs w:val="18"/>
                <w:highlight w:val="none"/>
                <w:u w:val="none"/>
                <w:lang w:val="en-US" w:eastAsia="zh-CN" w:bidi="ar"/>
              </w:rPr>
              <w:t>，1000g/瓶</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生根粉</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500g/袋粉剂</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斑点剂（套组）</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1.氟呲菌胺·氰霜唑(20克)悬浮剂≥25%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2.0.01%芸苔素内酯乳油1袋（10ml）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3.50%甲霜·锰锌1袋可湿性粉剂（30克）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4.30%肟茵·戊唑醇1袋悬浮剂（15克）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5.微量元素水溶肥料Cu+Mn+Zn+B≥100g/L(25克)</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蚂蚁药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（套装）</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1.虫螨.茚虫威10%悬浮剂(20克)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2.10%高效氯氟氰菊酯1瓶微囊悬浮剂(18克)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3.吡丙醚1袋（10毫升）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4.50%毒死蜱乳油(30ml)</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33" w:type="pct"/>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化肥</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尿素</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含氮量≥45%</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80斤/袋</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33" w:type="pct"/>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复合肥</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总养分≥45%氮磷钾15:15:15颗粒剂</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25kg/袋</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袋</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54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60" w:firstLineChars="900"/>
              <w:jc w:val="both"/>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none"/>
                <w:lang w:val="en-US" w:eastAsia="zh-CN" w:bidi="ar"/>
              </w:rPr>
              <w:t>元（含税，税金    %）</w:t>
            </w: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spacing w:line="360" w:lineRule="auto"/>
        <w:jc w:val="left"/>
        <w:rPr>
          <w:rFonts w:hint="eastAsia"/>
          <w:color w:val="auto"/>
          <w:sz w:val="24"/>
          <w:highlight w:val="none"/>
        </w:rPr>
      </w:pPr>
    </w:p>
    <w:p>
      <w:pPr>
        <w:spacing w:before="0" w:beforeLines="0" w:line="240" w:lineRule="auto"/>
        <w:rPr>
          <w:rFonts w:ascii="宋体" w:hAnsi="宋体"/>
          <w:sz w:val="24"/>
          <w:highlight w:val="none"/>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eastAsia="宋体" w:cs="宋体"/>
          <w:color w:val="000000"/>
          <w:sz w:val="24"/>
          <w:highlight w:val="none"/>
        </w:rPr>
        <w:t>所有报价均用人民币表示，所报单价是包干价即包括但不限于材料费、人工费、运输费、搬运费、下车费、管理费、利润、税金</w:t>
      </w:r>
      <w:r>
        <w:rPr>
          <w:rFonts w:hint="eastAsia"/>
          <w:b/>
          <w:bCs/>
          <w:color w:val="auto"/>
          <w:sz w:val="21"/>
          <w:szCs w:val="21"/>
          <w:highlight w:val="none"/>
        </w:rPr>
        <w:t>（</w:t>
      </w:r>
      <w:r>
        <w:rPr>
          <w:rFonts w:hint="eastAsia"/>
          <w:b/>
          <w:bCs/>
          <w:color w:val="auto"/>
          <w:sz w:val="21"/>
          <w:szCs w:val="21"/>
          <w:highlight w:val="none"/>
          <w:u w:val="single"/>
          <w:lang w:val="en-US" w:eastAsia="zh-CN"/>
        </w:rPr>
        <w:t xml:space="preserve">   %</w:t>
      </w:r>
      <w:r>
        <w:rPr>
          <w:rFonts w:hint="eastAsia"/>
          <w:b/>
          <w:bCs/>
          <w:color w:val="auto"/>
          <w:sz w:val="21"/>
          <w:szCs w:val="21"/>
          <w:highlight w:val="none"/>
        </w:rPr>
        <w:t>）</w:t>
      </w:r>
      <w:r>
        <w:rPr>
          <w:rFonts w:hint="eastAsia"/>
          <w:b w:val="0"/>
          <w:bCs w:val="0"/>
          <w:color w:val="auto"/>
          <w:sz w:val="21"/>
          <w:szCs w:val="21"/>
          <w:highlight w:val="none"/>
          <w:lang w:eastAsia="zh-CN"/>
        </w:rPr>
        <w:t>（</w:t>
      </w:r>
      <w:r>
        <w:rPr>
          <w:rFonts w:hint="eastAsia"/>
          <w:b w:val="0"/>
          <w:bCs w:val="0"/>
          <w:color w:val="auto"/>
          <w:sz w:val="21"/>
          <w:szCs w:val="21"/>
          <w:highlight w:val="none"/>
          <w:lang w:val="en-US" w:eastAsia="zh-CN"/>
        </w:rPr>
        <w:t>增值税专用发票</w:t>
      </w:r>
      <w:r>
        <w:rPr>
          <w:rFonts w:hint="eastAsia"/>
          <w:b w:val="0"/>
          <w:bCs w:val="0"/>
          <w:color w:val="auto"/>
          <w:sz w:val="21"/>
          <w:szCs w:val="21"/>
          <w:highlight w:val="none"/>
          <w:lang w:eastAsia="zh-CN"/>
        </w:rPr>
        <w:t>）</w:t>
      </w:r>
      <w:r>
        <w:rPr>
          <w:rFonts w:hint="eastAsia" w:ascii="宋体" w:hAnsi="宋体" w:eastAsia="宋体" w:cs="宋体"/>
          <w:color w:val="000000"/>
          <w:sz w:val="24"/>
          <w:highlight w:val="none"/>
        </w:rPr>
        <w:t>等完成本项目所需的一切费用。</w:t>
      </w:r>
    </w:p>
    <w:p>
      <w:pPr>
        <w:numPr>
          <w:ilvl w:val="0"/>
          <w:numId w:val="0"/>
        </w:numPr>
        <w:adjustRightInd w:val="0"/>
        <w:spacing w:beforeLines="0" w:line="240" w:lineRule="auto"/>
        <w:ind w:firstLine="241" w:firstLineChars="100"/>
        <w:jc w:val="left"/>
        <w:rPr>
          <w:rFonts w:hint="eastAsia" w:ascii="宋体" w:hAnsi="宋体"/>
          <w:color w:val="000000"/>
          <w:sz w:val="24"/>
          <w:highlight w:val="none"/>
          <w:lang w:val="en-US" w:eastAsia="zh-CN"/>
        </w:rPr>
      </w:pPr>
      <w:r>
        <w:rPr>
          <w:rFonts w:hint="eastAsia" w:ascii="宋体" w:hAnsi="宋体"/>
          <w:b/>
          <w:bCs/>
          <w:color w:val="000000"/>
          <w:sz w:val="24"/>
          <w:highlight w:val="none"/>
          <w:lang w:val="en-US" w:eastAsia="zh-CN"/>
        </w:rPr>
        <w:t>2.报价表内的单价不能超过第三章中的最高单价</w:t>
      </w:r>
      <w:r>
        <w:rPr>
          <w:rFonts w:hint="eastAsia" w:ascii="宋体" w:hAnsi="宋体"/>
          <w:color w:val="000000"/>
          <w:sz w:val="24"/>
          <w:highlight w:val="none"/>
          <w:lang w:val="en-US" w:eastAsia="zh-CN"/>
        </w:rPr>
        <w:t>，采购数量按实际交付数量结算。</w:t>
      </w:r>
    </w:p>
    <w:p>
      <w:pPr>
        <w:numPr>
          <w:ilvl w:val="0"/>
          <w:numId w:val="0"/>
        </w:numPr>
        <w:adjustRightInd w:val="0"/>
        <w:spacing w:beforeLines="0"/>
        <w:ind w:firstLine="240" w:firstLineChars="100"/>
        <w:jc w:val="left"/>
        <w:rPr>
          <w:rFonts w:hint="eastAsia" w:cs="宋体"/>
          <w:sz w:val="24"/>
          <w:szCs w:val="24"/>
          <w:highlight w:val="none"/>
          <w:lang w:val="en-US" w:eastAsia="zh-CN"/>
        </w:rPr>
      </w:pPr>
      <w:r>
        <w:rPr>
          <w:rFonts w:hint="eastAsia" w:cs="宋体"/>
          <w:sz w:val="24"/>
          <w:szCs w:val="24"/>
          <w:highlight w:val="none"/>
          <w:lang w:val="en-US" w:eastAsia="zh-CN"/>
        </w:rPr>
        <w:t>3.报价可保留2位小数（不作废标处理）。</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61" w:name="_Toc91771168"/>
      <w:bookmarkStart w:id="62" w:name="_Toc1117"/>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1"/>
      <w:bookmarkEnd w:id="62"/>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color w:val="auto"/>
          <w:sz w:val="24"/>
          <w:highlight w:val="none"/>
          <w:lang w:val="en-US" w:eastAsia="zh-CN"/>
        </w:rPr>
      </w:pPr>
      <w:r>
        <w:rPr>
          <w:rFonts w:hint="eastAsia"/>
          <w:color w:val="auto"/>
          <w:sz w:val="24"/>
          <w:highlight w:val="none"/>
        </w:rPr>
        <w:t>（七）根据采购项目提出的特殊条件：</w:t>
      </w:r>
      <w:r>
        <w:rPr>
          <w:rFonts w:hint="eastAsia"/>
          <w:color w:val="auto"/>
          <w:sz w:val="24"/>
          <w:highlight w:val="none"/>
          <w:lang w:val="en-US" w:eastAsia="zh-CN"/>
        </w:rPr>
        <w:t>供应商需提供有效期内的《农药经营许可证》。</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3" w:name="_Toc16489"/>
      <w:bookmarkStart w:id="64" w:name="_Toc9917"/>
      <w:bookmarkStart w:id="65" w:name="_Toc2589"/>
      <w:bookmarkStart w:id="66" w:name="_Toc30219"/>
      <w:bookmarkStart w:id="67" w:name="_Toc2900"/>
      <w:bookmarkStart w:id="68" w:name="_Toc13029"/>
      <w:bookmarkStart w:id="69" w:name="_Toc9177116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3"/>
      <w:bookmarkEnd w:id="64"/>
      <w:bookmarkEnd w:id="65"/>
      <w:bookmarkEnd w:id="66"/>
      <w:bookmarkEnd w:id="67"/>
      <w:bookmarkEnd w:id="68"/>
      <w:bookmarkEnd w:id="69"/>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70" w:name="_Toc91771170"/>
      <w:bookmarkStart w:id="71" w:name="_Toc24531"/>
      <w:r>
        <w:rPr>
          <w:rFonts w:hint="eastAsia" w:ascii="黑体" w:hAnsi="黑体" w:eastAsia="黑体" w:cs="Arial"/>
          <w:bCs/>
          <w:color w:val="auto"/>
          <w:sz w:val="32"/>
          <w:szCs w:val="32"/>
          <w:highlight w:val="none"/>
        </w:rPr>
        <w:t>七、供应商基本情况表</w:t>
      </w:r>
      <w:bookmarkEnd w:id="70"/>
      <w:bookmarkEnd w:id="71"/>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ind w:firstLine="640" w:firstLineChars="200"/>
        <w:jc w:val="both"/>
        <w:outlineLvl w:val="1"/>
        <w:rPr>
          <w:rFonts w:hint="eastAsia" w:ascii="黑体" w:hAnsi="黑体" w:eastAsia="黑体" w:cs="Arial"/>
          <w:bCs/>
          <w:color w:val="auto"/>
          <w:sz w:val="32"/>
          <w:szCs w:val="32"/>
          <w:highlight w:val="none"/>
        </w:rPr>
      </w:pPr>
      <w:bookmarkStart w:id="72" w:name="_Toc91771171"/>
      <w:bookmarkStart w:id="73" w:name="_Toc29672"/>
      <w:r>
        <w:rPr>
          <w:rFonts w:hint="eastAsia" w:ascii="黑体" w:hAnsi="黑体" w:eastAsia="黑体" w:cs="Arial"/>
          <w:bCs/>
          <w:color w:val="auto"/>
          <w:sz w:val="32"/>
          <w:szCs w:val="32"/>
          <w:highlight w:val="none"/>
        </w:rPr>
        <w:t>八、供应商本项目管理、技术、服务人员情况表</w:t>
      </w:r>
      <w:bookmarkEnd w:id="72"/>
      <w:bookmarkEnd w:id="7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4" w:name="_Toc22978"/>
      <w:bookmarkStart w:id="75" w:name="_Toc91771172"/>
      <w:r>
        <w:rPr>
          <w:rFonts w:hint="eastAsia" w:ascii="黑体" w:hAnsi="黑体" w:eastAsia="黑体" w:cs="Arial"/>
          <w:bCs/>
          <w:color w:val="auto"/>
          <w:sz w:val="32"/>
          <w:szCs w:val="32"/>
          <w:highlight w:val="none"/>
        </w:rPr>
        <w:t>九、商务、技术、服务要求应答表</w:t>
      </w:r>
      <w:bookmarkEnd w:id="74"/>
      <w:bookmarkEnd w:id="75"/>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cs="宋体"/>
                <w:bCs/>
                <w:sz w:val="24"/>
                <w:highlight w:val="none"/>
                <w:lang w:val="en-US" w:eastAsia="zh-CN"/>
              </w:rPr>
            </w:pPr>
            <w:r>
              <w:rPr>
                <w:rFonts w:hint="eastAsia" w:ascii="宋体" w:hAnsi="宋体" w:cs="宋体"/>
                <w:bCs/>
                <w:sz w:val="24"/>
                <w:highlight w:val="none"/>
                <w:lang w:val="en-US" w:eastAsia="zh-CN"/>
              </w:rPr>
              <w:t>服务要求：</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1.供货商提供产品合格证明，必须符合国家标准（无国标的按行业标准、企业标准，以此类推）。如供应商提供假冒伪劣产品，采购人有权要求停止供货或拒收，并向相关部门进行举报。</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2.供应商交货时提供的农药化肥等生产日期在最近</w:t>
            </w:r>
            <w:r>
              <w:rPr>
                <w:rFonts w:hint="eastAsia" w:ascii="宋体" w:hAnsi="宋体" w:cs="宋体"/>
                <w:bCs/>
                <w:sz w:val="24"/>
                <w:highlight w:val="none"/>
                <w:lang w:val="en-US" w:eastAsia="zh-CN"/>
              </w:rPr>
              <w:t>10</w:t>
            </w:r>
            <w:r>
              <w:rPr>
                <w:rFonts w:hint="eastAsia" w:ascii="宋体" w:hAnsi="宋体" w:eastAsia="宋体" w:cs="宋体"/>
                <w:bCs/>
                <w:sz w:val="24"/>
                <w:highlight w:val="none"/>
                <w:lang w:val="en-US" w:eastAsia="zh-CN"/>
              </w:rPr>
              <w:t>个月内。</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3.交货过程中如发现漏袋、损坏等质量不合格情况，供应商应免费无条件、快速的予以更换；否则，采购人有权拒绝收货。</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4.供应商经营产品如出现严重质量问题，暂停供应商供货，并追究相关法律责任。</w:t>
            </w:r>
          </w:p>
          <w:p>
            <w:pPr>
              <w:pStyle w:val="2"/>
              <w:keepNext w:val="0"/>
              <w:keepLines w:val="0"/>
              <w:pageBreakBefore w:val="0"/>
              <w:widowControl w:val="0"/>
              <w:kinsoku/>
              <w:wordWrap/>
              <w:overflowPunct/>
              <w:topLinePunct w:val="0"/>
              <w:autoSpaceDE/>
              <w:autoSpaceDN/>
              <w:bidi w:val="0"/>
              <w:adjustRightInd/>
              <w:snapToGrid/>
              <w:spacing w:line="360" w:lineRule="exact"/>
              <w:ind w:firstLine="278" w:firstLineChars="116"/>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5.成交供应商须指派专人负责与采购人联系供货及售后服务事宜。</w:t>
            </w:r>
          </w:p>
          <w:p>
            <w:pPr>
              <w:spacing w:line="360" w:lineRule="auto"/>
              <w:ind w:firstLine="240" w:firstLineChars="1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6.供货时所有药品及肥料均需提供产品检验报告或合格证。</w:t>
            </w:r>
          </w:p>
          <w:p>
            <w:pPr>
              <w:pStyle w:val="2"/>
              <w:ind w:firstLine="240" w:firstLineChars="1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7.供应商需对采购人使用后的药品包装进行回收处理。</w:t>
            </w:r>
          </w:p>
          <w:p>
            <w:pPr>
              <w:pStyle w:val="2"/>
              <w:ind w:firstLine="240" w:firstLineChars="100"/>
              <w:rPr>
                <w:rFonts w:hint="eastAsia"/>
                <w:color w:val="auto"/>
                <w:sz w:val="24"/>
                <w:highlight w:val="none"/>
                <w:lang w:val="en-US" w:eastAsia="zh-CN"/>
              </w:rPr>
            </w:pPr>
            <w:r>
              <w:rPr>
                <w:rFonts w:hint="eastAsia"/>
                <w:color w:val="auto"/>
                <w:sz w:val="24"/>
                <w:highlight w:val="none"/>
                <w:lang w:val="en-US" w:eastAsia="zh-CN"/>
              </w:rPr>
              <w:t>8.本项目提供的有机肥符合以下标准：</w:t>
            </w:r>
          </w:p>
          <w:p>
            <w:pPr>
              <w:pStyle w:val="2"/>
              <w:ind w:firstLine="480"/>
              <w:rPr>
                <w:rFonts w:hint="eastAsia"/>
                <w:color w:val="auto"/>
                <w:sz w:val="24"/>
                <w:highlight w:val="none"/>
                <w:lang w:val="en-US" w:eastAsia="zh-CN"/>
              </w:rPr>
            </w:pPr>
            <w:r>
              <w:rPr>
                <w:rFonts w:hint="eastAsia"/>
                <w:color w:val="auto"/>
                <w:sz w:val="24"/>
                <w:highlight w:val="none"/>
                <w:lang w:val="en-US" w:eastAsia="zh-CN"/>
              </w:rPr>
              <w:t>8.1生物有机肥执行标准:NY884-2012及无害化指标，粪大肠菌群数≤100个/g蛔虫卵死亡率&gt;95%。</w:t>
            </w:r>
          </w:p>
          <w:p>
            <w:pPr>
              <w:pStyle w:val="2"/>
              <w:ind w:firstLine="480"/>
              <w:rPr>
                <w:rFonts w:hint="eastAsia"/>
                <w:color w:val="auto"/>
                <w:sz w:val="24"/>
                <w:highlight w:val="none"/>
                <w:lang w:val="en-US" w:eastAsia="zh-CN"/>
              </w:rPr>
            </w:pPr>
            <w:r>
              <w:rPr>
                <w:rFonts w:hint="eastAsia"/>
                <w:color w:val="auto"/>
                <w:sz w:val="24"/>
                <w:highlight w:val="none"/>
                <w:lang w:val="en-US" w:eastAsia="zh-CN"/>
              </w:rPr>
              <w:t>8.2</w:t>
            </w:r>
            <w:r>
              <w:rPr>
                <w:rFonts w:hint="eastAsia" w:ascii="Times New Roman" w:hAnsi="Times New Roman" w:eastAsia="宋体" w:cs="Times New Roman"/>
                <w:color w:val="auto"/>
                <w:kern w:val="2"/>
                <w:sz w:val="24"/>
                <w:szCs w:val="24"/>
                <w:highlight w:val="none"/>
                <w:lang w:val="en-US" w:eastAsia="zh-CN" w:bidi="ar-SA"/>
              </w:rPr>
              <w:t>重金属限量指标: (1) (pd) (以烘干基计)&lt;50mg/kg;(2) (cd)(以烘干基计)&lt;3mg/kg;(3)铬 (cr) (以烘干基计)≤150mg/kg;(4)砷 (As)(以烘干基计≤15mg/ka;(5)汞(Hg) (以烘千基计)2mg/kg。</w:t>
            </w:r>
          </w:p>
          <w:p>
            <w:pPr>
              <w:pStyle w:val="2"/>
              <w:ind w:firstLine="48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8.3</w:t>
            </w:r>
            <w:r>
              <w:rPr>
                <w:rFonts w:hint="eastAsia" w:ascii="Times New Roman" w:hAnsi="Times New Roman" w:eastAsia="宋体" w:cs="Times New Roman"/>
                <w:color w:val="auto"/>
                <w:kern w:val="2"/>
                <w:sz w:val="24"/>
                <w:szCs w:val="24"/>
                <w:highlight w:val="none"/>
                <w:lang w:val="en-US" w:eastAsia="zh-CN" w:bidi="ar-SA"/>
              </w:rPr>
              <w:t>外观颜色为褐色或灰褐色，粒状，均匀，无恶臭，无机械杂质。禁止选用粉煤灰，钢渣，污泥，生活垃圾，含有外来入侵物种的物料和法律法规禁止的物料等存在安全隐患的禁用类原料。</w:t>
            </w:r>
          </w:p>
          <w:p>
            <w:pPr>
              <w:pStyle w:val="2"/>
              <w:numPr>
                <w:ilvl w:val="0"/>
                <w:numId w:val="4"/>
              </w:numPr>
              <w:ind w:firstLine="48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供</w:t>
            </w:r>
            <w:r>
              <w:rPr>
                <w:rFonts w:hint="eastAsia" w:ascii="宋体" w:hAnsi="宋体" w:cs="宋体"/>
                <w:bCs/>
                <w:color w:val="auto"/>
                <w:sz w:val="24"/>
                <w:highlight w:val="none"/>
                <w:lang w:val="en-US" w:eastAsia="zh-CN"/>
              </w:rPr>
              <w:t>应</w:t>
            </w:r>
            <w:r>
              <w:rPr>
                <w:rFonts w:hint="eastAsia" w:ascii="宋体" w:hAnsi="宋体" w:eastAsia="宋体" w:cs="宋体"/>
                <w:bCs/>
                <w:color w:val="auto"/>
                <w:sz w:val="24"/>
                <w:highlight w:val="none"/>
                <w:lang w:val="en-US" w:eastAsia="zh-CN"/>
              </w:rPr>
              <w:t>商中选后，需要提供参数表中每一种农药2种以上具有同一药性但不同的品牌农药，便于使用过程中植物产生抗药性能替换使用，不同品牌的最终结算单价均按投标单价计算。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default" w:ascii="宋体" w:hAnsi="宋体" w:eastAsia="宋体" w:cs="宋体"/>
                <w:bCs/>
                <w:color w:val="FF0000"/>
                <w:sz w:val="24"/>
                <w:highlight w:val="none"/>
                <w:lang w:val="en-US" w:eastAsia="zh-CN"/>
              </w:rPr>
            </w:pPr>
            <w:r>
              <w:rPr>
                <w:rFonts w:hint="eastAsia" w:cs="Times New Roman"/>
                <w:kern w:val="2"/>
                <w:sz w:val="24"/>
                <w:szCs w:val="24"/>
                <w:lang w:val="en-US" w:eastAsia="zh-CN" w:bidi="ar-SA"/>
              </w:rPr>
              <w:t>10.</w:t>
            </w:r>
            <w:r>
              <w:rPr>
                <w:rFonts w:hint="eastAsia" w:ascii="Times New Roman" w:hAnsi="Times New Roman" w:eastAsia="宋体" w:cs="Times New Roman"/>
                <w:kern w:val="2"/>
                <w:sz w:val="24"/>
                <w:szCs w:val="24"/>
                <w:lang w:val="en-US" w:eastAsia="zh-CN" w:bidi="ar-SA"/>
              </w:rPr>
              <w:t>农药需要提供生产厂家农药登记证复印件或中华人民共和国农业农村部</w:t>
            </w:r>
            <w:bookmarkStart w:id="76" w:name="OLE_LINK1"/>
            <w:r>
              <w:rPr>
                <w:rFonts w:hint="eastAsia" w:ascii="Times New Roman" w:hAnsi="Times New Roman" w:eastAsia="宋体" w:cs="Times New Roman"/>
                <w:kern w:val="2"/>
                <w:sz w:val="24"/>
                <w:szCs w:val="24"/>
                <w:lang w:val="en-US" w:eastAsia="zh-CN" w:bidi="ar-SA"/>
              </w:rPr>
              <w:t>htps://www.icama.cn/Basicdatasystemplanting/guerypesticide.do</w:t>
            </w:r>
            <w:bookmarkEnd w:id="76"/>
            <w:r>
              <w:rPr>
                <w:rFonts w:hint="eastAsia" w:ascii="Times New Roman" w:hAnsi="Times New Roman" w:eastAsia="宋体" w:cs="Times New Roman"/>
                <w:kern w:val="2"/>
                <w:sz w:val="24"/>
                <w:szCs w:val="24"/>
                <w:lang w:val="en-US" w:eastAsia="zh-CN" w:bidi="ar-SA"/>
              </w:rPr>
              <w:t>备案截图</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化肥需要提供生产厂家肥料登记证复印件或中华人民共和国农业农村部https://fyw.agri.cn/publicvue/#/Ministerial guery备案截图。</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商务要求：</w:t>
            </w:r>
          </w:p>
          <w:p>
            <w:pPr>
              <w:pStyle w:val="5"/>
              <w:numPr>
                <w:ilvl w:val="0"/>
                <w:numId w:val="0"/>
              </w:numPr>
              <w:ind w:leftChars="0"/>
              <w:rPr>
                <w:rFonts w:hint="default"/>
                <w:lang w:val="en-US" w:eastAsia="zh-CN"/>
              </w:rPr>
            </w:pPr>
            <w:r>
              <w:rPr>
                <w:rFonts w:hint="eastAsia"/>
                <w:sz w:val="24"/>
                <w:szCs w:val="32"/>
                <w:lang w:val="en-US" w:eastAsia="zh-CN"/>
              </w:rPr>
              <w:t>支付方式：</w:t>
            </w:r>
            <w:r>
              <w:rPr>
                <w:rFonts w:hint="eastAsia"/>
                <w:color w:val="auto"/>
                <w:sz w:val="24"/>
                <w:szCs w:val="32"/>
                <w:lang w:val="en-US" w:eastAsia="zh-CN"/>
              </w:rPr>
              <w:t>每次供货完成并验收合格后30个工作日内一次性支付当期货款。每次付款前应向采购人开具等额、有效的增值税专用发票，否则，采购人有权迟延支付货物款项，且不承担迟延付款的违约责任。</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line="360" w:lineRule="auto"/>
        <w:jc w:val="left"/>
        <w:rPr>
          <w:rFonts w:hint="eastAsia"/>
          <w:color w:val="auto"/>
          <w:sz w:val="24"/>
          <w:highlight w:val="none"/>
        </w:rPr>
      </w:pPr>
      <w:r>
        <w:rPr>
          <w:b/>
          <w:color w:val="auto"/>
          <w:sz w:val="32"/>
          <w:szCs w:val="32"/>
          <w:highlight w:val="none"/>
        </w:rPr>
        <w:br w:type="page"/>
      </w:r>
      <w:bookmarkStart w:id="77" w:name="_Toc797"/>
    </w:p>
    <w:p>
      <w:pPr>
        <w:widowControl/>
        <w:spacing w:line="360" w:lineRule="atLeast"/>
        <w:jc w:val="center"/>
        <w:outlineLvl w:val="2"/>
        <w:rPr>
          <w:rFonts w:hint="eastAsia" w:ascii="宋体" w:hAnsi="宋体" w:eastAsia="宋体" w:cs="宋体"/>
          <w:b/>
          <w:color w:val="auto"/>
          <w:sz w:val="32"/>
          <w:szCs w:val="32"/>
        </w:rPr>
      </w:pPr>
      <w:bookmarkStart w:id="78" w:name="_Toc10711"/>
      <w:r>
        <w:rPr>
          <w:rFonts w:hint="eastAsia" w:ascii="宋体" w:hAnsi="宋体" w:cs="宋体"/>
          <w:b/>
          <w:color w:val="auto"/>
          <w:sz w:val="32"/>
          <w:szCs w:val="32"/>
          <w:lang w:val="en-US" w:eastAsia="zh-CN"/>
        </w:rPr>
        <w:t>十</w:t>
      </w:r>
      <w:r>
        <w:rPr>
          <w:rFonts w:hint="eastAsia" w:ascii="宋体" w:hAnsi="宋体" w:eastAsia="宋体" w:cs="宋体"/>
          <w:b/>
          <w:color w:val="auto"/>
          <w:sz w:val="32"/>
          <w:szCs w:val="32"/>
        </w:rPr>
        <w:t>、</w:t>
      </w:r>
      <w:r>
        <w:rPr>
          <w:rFonts w:hint="eastAsia" w:ascii="宋体" w:hAnsi="宋体" w:eastAsia="宋体" w:cs="宋体"/>
          <w:b/>
          <w:color w:val="auto"/>
          <w:sz w:val="32"/>
          <w:szCs w:val="32"/>
          <w:lang w:val="en-US" w:eastAsia="zh-CN"/>
        </w:rPr>
        <w:t>询价</w:t>
      </w:r>
      <w:r>
        <w:rPr>
          <w:rFonts w:hint="eastAsia" w:ascii="宋体" w:hAnsi="宋体" w:eastAsia="宋体" w:cs="宋体"/>
          <w:b/>
          <w:color w:val="auto"/>
          <w:sz w:val="32"/>
          <w:szCs w:val="32"/>
        </w:rPr>
        <w:t>产品技术参数表</w:t>
      </w:r>
      <w:bookmarkEnd w:id="78"/>
    </w:p>
    <w:p>
      <w:pPr>
        <w:widowControl/>
        <w:spacing w:line="360" w:lineRule="atLeast"/>
        <w:jc w:val="left"/>
        <w:outlineLvl w:val="3"/>
        <w:rPr>
          <w:rFonts w:hint="eastAsia" w:ascii="宋体" w:hAnsi="宋体" w:eastAsia="宋体" w:cs="宋体"/>
          <w:color w:val="auto"/>
          <w:sz w:val="24"/>
        </w:rPr>
      </w:pPr>
      <w:r>
        <w:rPr>
          <w:rFonts w:hint="eastAsia" w:ascii="宋体" w:hAnsi="宋体" w:eastAsia="宋体" w:cs="宋体"/>
          <w:color w:val="auto"/>
          <w:sz w:val="24"/>
        </w:rPr>
        <w:t xml:space="preserve">                                </w:t>
      </w:r>
    </w:p>
    <w:tbl>
      <w:tblPr>
        <w:tblStyle w:val="18"/>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721"/>
        <w:gridCol w:w="2767"/>
        <w:gridCol w:w="2468"/>
        <w:gridCol w:w="166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44" w:type="dxa"/>
            <w:noWrap w:val="0"/>
            <w:vAlign w:val="center"/>
          </w:tcPr>
          <w:p>
            <w:pPr>
              <w:widowControl/>
              <w:spacing w:line="360" w:lineRule="atLeast"/>
              <w:jc w:val="left"/>
              <w:outlineLvl w:val="1"/>
              <w:rPr>
                <w:rFonts w:hint="eastAsia" w:ascii="宋体" w:hAnsi="宋体" w:eastAsia="宋体" w:cs="宋体"/>
                <w:color w:val="auto"/>
                <w:sz w:val="24"/>
              </w:rPr>
            </w:pPr>
            <w:bookmarkStart w:id="79" w:name="_Toc15581"/>
            <w:r>
              <w:rPr>
                <w:rFonts w:hint="eastAsia" w:ascii="宋体" w:hAnsi="宋体" w:eastAsia="宋体" w:cs="宋体"/>
                <w:color w:val="auto"/>
                <w:sz w:val="24"/>
              </w:rPr>
              <w:t>序号</w:t>
            </w:r>
            <w:bookmarkEnd w:id="79"/>
          </w:p>
        </w:tc>
        <w:tc>
          <w:tcPr>
            <w:tcW w:w="1721" w:type="dxa"/>
            <w:noWrap w:val="0"/>
            <w:vAlign w:val="center"/>
          </w:tcPr>
          <w:p>
            <w:pPr>
              <w:widowControl/>
              <w:spacing w:line="360" w:lineRule="atLeast"/>
              <w:jc w:val="left"/>
              <w:outlineLvl w:val="1"/>
              <w:rPr>
                <w:rFonts w:hint="eastAsia" w:ascii="宋体" w:hAnsi="宋体" w:eastAsia="宋体" w:cs="宋体"/>
                <w:color w:val="auto"/>
                <w:sz w:val="24"/>
                <w:lang w:val="en-US" w:eastAsia="zh-CN"/>
              </w:rPr>
            </w:pPr>
            <w:bookmarkStart w:id="80" w:name="_Toc8561"/>
            <w:r>
              <w:rPr>
                <w:rFonts w:hint="eastAsia" w:ascii="宋体" w:hAnsi="宋体" w:eastAsia="宋体" w:cs="宋体"/>
                <w:color w:val="auto"/>
                <w:sz w:val="24"/>
              </w:rPr>
              <w:t>货物</w:t>
            </w:r>
            <w:r>
              <w:rPr>
                <w:rFonts w:hint="eastAsia" w:ascii="宋体" w:hAnsi="宋体" w:eastAsia="宋体" w:cs="宋体"/>
                <w:color w:val="auto"/>
                <w:sz w:val="24"/>
                <w:lang w:val="en-US" w:eastAsia="zh-CN"/>
              </w:rPr>
              <w:t>名称</w:t>
            </w:r>
            <w:bookmarkEnd w:id="80"/>
          </w:p>
        </w:tc>
        <w:tc>
          <w:tcPr>
            <w:tcW w:w="2767" w:type="dxa"/>
            <w:noWrap w:val="0"/>
            <w:vAlign w:val="center"/>
          </w:tcPr>
          <w:p>
            <w:pPr>
              <w:widowControl/>
              <w:spacing w:line="360" w:lineRule="atLeast"/>
              <w:jc w:val="left"/>
              <w:outlineLvl w:val="1"/>
              <w:rPr>
                <w:rFonts w:hint="eastAsia" w:ascii="宋体" w:hAnsi="宋体" w:eastAsia="宋体" w:cs="宋体"/>
                <w:color w:val="auto"/>
                <w:sz w:val="24"/>
                <w:lang w:val="en-US" w:eastAsia="zh-CN"/>
              </w:rPr>
            </w:pPr>
            <w:bookmarkStart w:id="81" w:name="_Toc25711"/>
            <w:r>
              <w:rPr>
                <w:rFonts w:hint="eastAsia" w:ascii="宋体" w:hAnsi="宋体" w:eastAsia="宋体" w:cs="宋体"/>
                <w:color w:val="auto"/>
                <w:sz w:val="24"/>
                <w:lang w:val="en-US" w:eastAsia="zh-CN"/>
              </w:rPr>
              <w:t>询价</w:t>
            </w:r>
            <w:r>
              <w:rPr>
                <w:rFonts w:hint="eastAsia" w:ascii="宋体" w:hAnsi="宋体" w:eastAsia="宋体" w:cs="宋体"/>
                <w:color w:val="auto"/>
                <w:sz w:val="24"/>
              </w:rPr>
              <w:t>文件要求</w:t>
            </w:r>
            <w:r>
              <w:rPr>
                <w:rFonts w:hint="eastAsia" w:ascii="宋体" w:hAnsi="宋体" w:eastAsia="宋体" w:cs="宋体"/>
                <w:color w:val="auto"/>
                <w:sz w:val="24"/>
                <w:lang w:val="en-US" w:eastAsia="zh-CN"/>
              </w:rPr>
              <w:t>技术参数</w:t>
            </w:r>
            <w:bookmarkEnd w:id="81"/>
          </w:p>
        </w:tc>
        <w:tc>
          <w:tcPr>
            <w:tcW w:w="2468" w:type="dxa"/>
            <w:noWrap w:val="0"/>
            <w:vAlign w:val="center"/>
          </w:tcPr>
          <w:p>
            <w:pPr>
              <w:widowControl/>
              <w:spacing w:line="360" w:lineRule="atLeast"/>
              <w:ind w:firstLine="240" w:firstLineChars="100"/>
              <w:jc w:val="left"/>
              <w:outlineLvl w:val="1"/>
              <w:rPr>
                <w:rFonts w:hint="eastAsia" w:ascii="宋体" w:hAnsi="宋体" w:eastAsia="宋体" w:cs="宋体"/>
                <w:color w:val="auto"/>
                <w:sz w:val="24"/>
              </w:rPr>
            </w:pPr>
            <w:bookmarkStart w:id="82" w:name="_Toc11313"/>
            <w:r>
              <w:rPr>
                <w:rFonts w:hint="eastAsia" w:ascii="宋体" w:hAnsi="宋体" w:eastAsia="宋体" w:cs="宋体"/>
                <w:color w:val="auto"/>
                <w:sz w:val="24"/>
                <w:lang w:val="en-US" w:eastAsia="zh-CN"/>
              </w:rPr>
              <w:t>响应</w:t>
            </w:r>
            <w:r>
              <w:rPr>
                <w:rFonts w:hint="eastAsia" w:ascii="宋体" w:hAnsi="宋体" w:eastAsia="宋体" w:cs="宋体"/>
                <w:color w:val="auto"/>
                <w:sz w:val="24"/>
              </w:rPr>
              <w:t>产品技术参数</w:t>
            </w:r>
            <w:bookmarkEnd w:id="82"/>
          </w:p>
        </w:tc>
        <w:tc>
          <w:tcPr>
            <w:tcW w:w="1665" w:type="dxa"/>
            <w:noWrap w:val="0"/>
            <w:vAlign w:val="center"/>
          </w:tcPr>
          <w:p>
            <w:pPr>
              <w:widowControl/>
              <w:spacing w:line="360" w:lineRule="atLeast"/>
              <w:jc w:val="left"/>
              <w:outlineLvl w:val="1"/>
              <w:rPr>
                <w:rFonts w:hint="eastAsia" w:ascii="宋体" w:hAnsi="宋体" w:eastAsia="宋体" w:cs="宋体"/>
                <w:color w:val="auto"/>
                <w:sz w:val="24"/>
                <w:lang w:val="en-US" w:eastAsia="zh-CN"/>
              </w:rPr>
            </w:pPr>
            <w:bookmarkStart w:id="83" w:name="_Toc14823"/>
            <w:r>
              <w:rPr>
                <w:rFonts w:hint="eastAsia" w:ascii="宋体" w:hAnsi="宋体" w:eastAsia="宋体" w:cs="宋体"/>
                <w:color w:val="auto"/>
                <w:sz w:val="24"/>
                <w:lang w:val="en-US" w:eastAsia="zh-CN"/>
              </w:rPr>
              <w:t>符合/正偏离/ 负偏离</w:t>
            </w:r>
            <w:bookmarkEnd w:id="83"/>
            <w:r>
              <w:rPr>
                <w:rFonts w:hint="eastAsia" w:ascii="宋体" w:hAnsi="宋体" w:eastAsia="宋体" w:cs="宋体"/>
                <w:color w:val="auto"/>
                <w:sz w:val="24"/>
                <w:lang w:val="en-US" w:eastAsia="zh-CN"/>
              </w:rPr>
              <w:t xml:space="preserve"> </w:t>
            </w:r>
          </w:p>
        </w:tc>
        <w:tc>
          <w:tcPr>
            <w:tcW w:w="1146" w:type="dxa"/>
            <w:noWrap w:val="0"/>
            <w:vAlign w:val="center"/>
          </w:tcPr>
          <w:p>
            <w:pPr>
              <w:widowControl/>
              <w:spacing w:line="360" w:lineRule="atLeast"/>
              <w:ind w:firstLine="240" w:firstLineChars="100"/>
              <w:jc w:val="left"/>
              <w:outlineLvl w:val="1"/>
              <w:rPr>
                <w:rFonts w:hint="eastAsia" w:ascii="宋体" w:hAnsi="宋体" w:eastAsia="宋体" w:cs="宋体"/>
                <w:color w:val="auto"/>
                <w:sz w:val="24"/>
                <w:lang w:val="en-US" w:eastAsia="zh-CN"/>
              </w:rPr>
            </w:pPr>
            <w:bookmarkStart w:id="84" w:name="_Toc23618"/>
            <w:r>
              <w:rPr>
                <w:rFonts w:hint="eastAsia" w:ascii="宋体" w:hAnsi="宋体" w:eastAsia="宋体" w:cs="宋体"/>
                <w:color w:val="auto"/>
                <w:sz w:val="24"/>
                <w:lang w:val="en-US" w:eastAsia="zh-CN"/>
              </w:rPr>
              <w:t>备注</w:t>
            </w:r>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1"/>
              <w:rPr>
                <w:rFonts w:hint="eastAsia" w:ascii="宋体" w:hAnsi="宋体" w:eastAsia="宋体" w:cs="宋体"/>
                <w:color w:val="auto"/>
                <w:sz w:val="24"/>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1"/>
              <w:rPr>
                <w:rFonts w:hint="eastAsia" w:ascii="宋体" w:hAnsi="宋体" w:eastAsia="宋体" w:cs="宋体"/>
                <w:color w:val="auto"/>
                <w:sz w:val="24"/>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1"/>
              <w:rPr>
                <w:rFonts w:hint="eastAsia" w:ascii="宋体" w:hAnsi="宋体" w:eastAsia="宋体" w:cs="宋体"/>
                <w:color w:val="auto"/>
                <w:sz w:val="24"/>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1"/>
              <w:rPr>
                <w:rFonts w:hint="eastAsia" w:ascii="宋体" w:hAnsi="宋体" w:eastAsia="宋体" w:cs="宋体"/>
                <w:color w:val="auto"/>
                <w:sz w:val="24"/>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1"/>
              <w:rPr>
                <w:rFonts w:hint="eastAsia" w:ascii="宋体" w:hAnsi="宋体" w:eastAsia="宋体" w:cs="宋体"/>
                <w:color w:val="auto"/>
                <w:sz w:val="24"/>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1"/>
              <w:rPr>
                <w:rFonts w:hint="eastAsia" w:ascii="宋体" w:hAnsi="宋体" w:eastAsia="宋体" w:cs="宋体"/>
                <w:color w:val="auto"/>
                <w:sz w:val="24"/>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1"/>
              <w:rPr>
                <w:rFonts w:hint="eastAsia" w:ascii="宋体" w:hAnsi="宋体" w:eastAsia="宋体" w:cs="宋体"/>
                <w:color w:val="auto"/>
                <w:sz w:val="24"/>
                <w:lang w:val="en-US" w:eastAsia="zh-CN" w:bidi="ar-SA"/>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jc w:val="left"/>
              <w:outlineLvl w:val="9"/>
              <w:rPr>
                <w:rFonts w:hint="eastAsia" w:ascii="宋体" w:hAnsi="宋体" w:eastAsia="宋体" w:cs="宋体"/>
                <w:color w:val="auto"/>
                <w:sz w:val="24"/>
                <w:lang w:val="en-US" w:eastAsia="zh-CN"/>
              </w:rPr>
            </w:pP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lang w:val="en-US" w:eastAsia="zh-CN"/>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1"/>
              <w:rPr>
                <w:rFonts w:hint="eastAsia" w:ascii="宋体" w:hAnsi="宋体" w:eastAsia="宋体" w:cs="宋体"/>
                <w:color w:val="auto"/>
                <w:sz w:val="24"/>
                <w:lang w:val="en-US" w:eastAsia="zh-CN" w:bidi="ar-SA"/>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jc w:val="left"/>
              <w:outlineLvl w:val="9"/>
              <w:rPr>
                <w:rFonts w:hint="eastAsia" w:ascii="宋体" w:hAnsi="宋体" w:eastAsia="宋体" w:cs="宋体"/>
                <w:color w:val="auto"/>
                <w:sz w:val="24"/>
                <w:lang w:val="en-US" w:eastAsia="zh-CN"/>
              </w:rPr>
            </w:pP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lang w:val="en-US" w:eastAsia="zh-CN"/>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1"/>
              <w:rPr>
                <w:rFonts w:hint="eastAsia" w:ascii="宋体" w:hAnsi="宋体" w:eastAsia="宋体" w:cs="宋体"/>
                <w:color w:val="auto"/>
                <w:sz w:val="24"/>
                <w:lang w:val="en-US" w:eastAsia="zh-CN"/>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jc w:val="left"/>
              <w:outlineLvl w:val="9"/>
              <w:rPr>
                <w:rFonts w:hint="eastAsia" w:ascii="宋体" w:hAnsi="宋体" w:eastAsia="宋体" w:cs="宋体"/>
                <w:color w:val="auto"/>
                <w:sz w:val="24"/>
                <w:lang w:val="en-US" w:eastAsia="zh-CN"/>
              </w:rPr>
            </w:pP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lang w:val="en-US" w:eastAsia="zh-CN"/>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1"/>
              <w:rPr>
                <w:rFonts w:hint="eastAsia" w:ascii="宋体" w:hAnsi="宋体" w:eastAsia="宋体" w:cs="宋体"/>
                <w:color w:val="auto"/>
                <w:sz w:val="24"/>
                <w:lang w:val="en-US" w:eastAsia="zh-CN"/>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jc w:val="left"/>
              <w:outlineLvl w:val="9"/>
              <w:rPr>
                <w:rFonts w:hint="eastAsia" w:ascii="宋体" w:hAnsi="宋体" w:eastAsia="宋体" w:cs="宋体"/>
                <w:color w:val="auto"/>
                <w:sz w:val="24"/>
                <w:lang w:val="en-US" w:eastAsia="zh-CN"/>
              </w:rPr>
            </w:pP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lang w:val="en-US" w:eastAsia="zh-CN"/>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top"/>
          </w:tcPr>
          <w:p>
            <w:pPr>
              <w:widowControl/>
              <w:spacing w:line="360" w:lineRule="atLeast"/>
              <w:jc w:val="left"/>
              <w:outlineLvl w:val="9"/>
              <w:rPr>
                <w:rFonts w:hint="eastAsia" w:ascii="宋体" w:hAnsi="宋体" w:eastAsia="宋体" w:cs="宋体"/>
                <w:color w:val="auto"/>
                <w:sz w:val="24"/>
                <w:lang w:val="en-US" w:eastAsia="zh-CN"/>
              </w:rPr>
            </w:pPr>
          </w:p>
        </w:tc>
        <w:tc>
          <w:tcPr>
            <w:tcW w:w="1721"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2767" w:type="dxa"/>
            <w:noWrap w:val="0"/>
            <w:vAlign w:val="top"/>
          </w:tcPr>
          <w:p>
            <w:pPr>
              <w:widowControl/>
              <w:spacing w:line="360" w:lineRule="atLeast"/>
              <w:jc w:val="left"/>
              <w:outlineLvl w:val="1"/>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w:t>
            </w:r>
          </w:p>
        </w:tc>
        <w:tc>
          <w:tcPr>
            <w:tcW w:w="2468" w:type="dxa"/>
            <w:noWrap w:val="0"/>
            <w:vAlign w:val="top"/>
          </w:tcPr>
          <w:p>
            <w:pPr>
              <w:widowControl/>
              <w:spacing w:line="360" w:lineRule="atLeast"/>
              <w:ind w:firstLine="470" w:firstLineChars="196"/>
              <w:jc w:val="left"/>
              <w:outlineLvl w:val="1"/>
              <w:rPr>
                <w:rFonts w:hint="eastAsia" w:ascii="宋体" w:hAnsi="宋体" w:eastAsia="宋体" w:cs="宋体"/>
                <w:color w:val="auto"/>
                <w:sz w:val="24"/>
                <w:lang w:val="en-US" w:eastAsia="zh-CN"/>
              </w:rPr>
            </w:pPr>
            <w:bookmarkStart w:id="85" w:name="_Toc25453"/>
            <w:r>
              <w:rPr>
                <w:rFonts w:hint="eastAsia" w:ascii="宋体" w:hAnsi="宋体" w:eastAsia="宋体" w:cs="宋体"/>
                <w:color w:val="auto"/>
                <w:sz w:val="24"/>
                <w:lang w:val="en-US" w:eastAsia="zh-CN"/>
              </w:rPr>
              <w:t>表格自行添加</w:t>
            </w:r>
            <w:bookmarkEnd w:id="85"/>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c>
          <w:tcPr>
            <w:tcW w:w="114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rPr>
            </w:pPr>
          </w:p>
        </w:tc>
      </w:tr>
    </w:tbl>
    <w:p>
      <w:pPr>
        <w:keepNext w:val="0"/>
        <w:keepLines w:val="0"/>
        <w:pageBreakBefore w:val="0"/>
        <w:numPr>
          <w:ilvl w:val="0"/>
          <w:numId w:val="0"/>
        </w:numPr>
        <w:kinsoku/>
        <w:wordWrap/>
        <w:overflowPunct/>
        <w:topLinePunct w:val="0"/>
        <w:autoSpaceDE/>
        <w:autoSpaceDN/>
        <w:bidi w:val="0"/>
        <w:snapToGrid/>
        <w:spacing w:line="360" w:lineRule="exact"/>
        <w:ind w:left="0" w:leftChars="0" w:firstLine="0" w:firstLineChars="0"/>
        <w:rPr>
          <w:rFonts w:hint="eastAsia" w:ascii="宋体" w:hAnsi="宋体" w:eastAsia="宋体" w:cs="宋体"/>
          <w:b/>
          <w:bCs/>
          <w:color w:val="auto"/>
          <w:sz w:val="24"/>
        </w:rPr>
      </w:pPr>
      <w:r>
        <w:rPr>
          <w:rFonts w:hint="eastAsia" w:ascii="宋体" w:hAnsi="宋体" w:eastAsia="宋体" w:cs="宋体"/>
          <w:b/>
          <w:bCs/>
          <w:color w:val="auto"/>
          <w:sz w:val="24"/>
        </w:rPr>
        <w:t xml:space="preserve">注：1. </w:t>
      </w:r>
      <w:r>
        <w:rPr>
          <w:rFonts w:hint="eastAsia" w:ascii="宋体" w:hAnsi="宋体" w:eastAsia="宋体" w:cs="宋体"/>
          <w:b/>
          <w:bCs/>
          <w:color w:val="auto"/>
          <w:sz w:val="24"/>
          <w:lang w:val="en-US" w:eastAsia="zh-CN"/>
        </w:rPr>
        <w:t>供应商</w:t>
      </w:r>
      <w:r>
        <w:rPr>
          <w:rFonts w:hint="eastAsia" w:ascii="宋体" w:hAnsi="宋体" w:eastAsia="宋体" w:cs="宋体"/>
          <w:b/>
          <w:bCs/>
          <w:color w:val="auto"/>
          <w:sz w:val="24"/>
        </w:rPr>
        <w:t>必须把</w:t>
      </w:r>
      <w:r>
        <w:rPr>
          <w:rFonts w:hint="eastAsia" w:ascii="宋体" w:hAnsi="宋体" w:eastAsia="宋体" w:cs="宋体"/>
          <w:b/>
          <w:bCs/>
          <w:color w:val="auto"/>
          <w:sz w:val="24"/>
          <w:lang w:val="en-US" w:eastAsia="zh-CN"/>
        </w:rPr>
        <w:t>询价文件第三章第二条</w:t>
      </w:r>
      <w:r>
        <w:rPr>
          <w:rFonts w:hint="eastAsia" w:ascii="宋体" w:hAnsi="宋体" w:eastAsia="宋体" w:cs="宋体"/>
          <w:b/>
          <w:bCs/>
          <w:color w:val="auto"/>
          <w:sz w:val="24"/>
          <w:szCs w:val="24"/>
          <w:lang w:val="en-US" w:eastAsia="zh-CN"/>
        </w:rPr>
        <w:t>参数要求</w:t>
      </w:r>
      <w:r>
        <w:rPr>
          <w:rFonts w:hint="eastAsia" w:ascii="宋体" w:hAnsi="宋体" w:eastAsia="宋体" w:cs="宋体"/>
          <w:b/>
          <w:bCs/>
          <w:color w:val="auto"/>
          <w:sz w:val="24"/>
        </w:rPr>
        <w:t>列入此表。</w:t>
      </w:r>
    </w:p>
    <w:p>
      <w:pPr>
        <w:widowControl/>
        <w:spacing w:line="360" w:lineRule="atLeast"/>
        <w:ind w:firstLine="472" w:firstLineChars="196"/>
        <w:jc w:val="left"/>
        <w:outlineLvl w:val="3"/>
        <w:rPr>
          <w:rFonts w:hint="eastAsia" w:ascii="宋体" w:hAnsi="宋体" w:eastAsia="宋体" w:cs="宋体"/>
          <w:b/>
          <w:bCs/>
          <w:color w:val="auto"/>
          <w:sz w:val="24"/>
        </w:rPr>
      </w:pPr>
      <w:r>
        <w:rPr>
          <w:rFonts w:hint="eastAsia" w:ascii="宋体" w:hAnsi="宋体" w:eastAsia="宋体" w:cs="宋体"/>
          <w:b/>
          <w:bCs/>
          <w:color w:val="auto"/>
          <w:sz w:val="24"/>
        </w:rPr>
        <w:t>2．按照</w:t>
      </w:r>
      <w:r>
        <w:rPr>
          <w:rFonts w:hint="eastAsia" w:ascii="宋体" w:hAnsi="宋体" w:eastAsia="宋体" w:cs="宋体"/>
          <w:b/>
          <w:bCs/>
          <w:color w:val="auto"/>
          <w:sz w:val="24"/>
          <w:lang w:val="en-US" w:eastAsia="zh-CN"/>
        </w:rPr>
        <w:t>询价参数要求</w:t>
      </w:r>
      <w:r>
        <w:rPr>
          <w:rFonts w:hint="eastAsia" w:ascii="宋体" w:hAnsi="宋体" w:eastAsia="宋体" w:cs="宋体"/>
          <w:b/>
          <w:bCs/>
          <w:color w:val="auto"/>
          <w:sz w:val="24"/>
        </w:rPr>
        <w:t>的顺序对应填写。</w:t>
      </w:r>
    </w:p>
    <w:p>
      <w:pPr>
        <w:widowControl/>
        <w:spacing w:line="360" w:lineRule="atLeast"/>
        <w:ind w:firstLine="472" w:firstLineChars="196"/>
        <w:jc w:val="left"/>
        <w:outlineLvl w:val="3"/>
        <w:rPr>
          <w:rFonts w:hint="eastAsia" w:ascii="宋体" w:hAnsi="宋体" w:eastAsia="宋体" w:cs="宋体"/>
          <w:b/>
          <w:bCs/>
          <w:color w:val="auto"/>
          <w:sz w:val="24"/>
        </w:rPr>
      </w:pPr>
      <w:r>
        <w:rPr>
          <w:rFonts w:hint="eastAsia" w:ascii="宋体" w:hAnsi="宋体" w:eastAsia="宋体" w:cs="宋体"/>
          <w:b/>
          <w:bCs/>
          <w:color w:val="auto"/>
          <w:sz w:val="24"/>
        </w:rPr>
        <w:t>3．</w:t>
      </w:r>
      <w:r>
        <w:rPr>
          <w:rFonts w:hint="eastAsia" w:ascii="宋体" w:hAnsi="宋体" w:eastAsia="宋体" w:cs="宋体"/>
          <w:b/>
          <w:bCs/>
          <w:color w:val="auto"/>
          <w:sz w:val="24"/>
          <w:lang w:val="en-US" w:eastAsia="zh-CN"/>
        </w:rPr>
        <w:t>供应商</w:t>
      </w:r>
      <w:r>
        <w:rPr>
          <w:rFonts w:hint="eastAsia" w:ascii="宋体" w:hAnsi="宋体" w:eastAsia="宋体" w:cs="宋体"/>
          <w:b/>
          <w:bCs/>
          <w:color w:val="auto"/>
          <w:sz w:val="24"/>
        </w:rPr>
        <w:t>必须据实填写，不得虚假填写，否则将取消其投标或中标资格。</w:t>
      </w:r>
    </w:p>
    <w:p>
      <w:pPr>
        <w:widowControl/>
        <w:spacing w:line="360" w:lineRule="atLeast"/>
        <w:ind w:firstLine="470" w:firstLineChars="196"/>
        <w:jc w:val="left"/>
        <w:outlineLvl w:val="9"/>
        <w:rPr>
          <w:rFonts w:hint="eastAsia" w:ascii="宋体" w:hAnsi="宋体" w:eastAsia="宋体" w:cs="宋体"/>
          <w:color w:val="auto"/>
          <w:sz w:val="24"/>
        </w:rPr>
      </w:pPr>
    </w:p>
    <w:p>
      <w:pPr>
        <w:widowControl/>
        <w:spacing w:line="360" w:lineRule="atLeast"/>
        <w:ind w:firstLine="470" w:firstLineChars="196"/>
        <w:jc w:val="left"/>
        <w:outlineLvl w:val="9"/>
        <w:rPr>
          <w:rFonts w:hint="eastAsia" w:ascii="宋体" w:hAnsi="宋体" w:eastAsia="宋体" w:cs="宋体"/>
          <w:color w:val="auto"/>
          <w:sz w:val="24"/>
        </w:rPr>
      </w:pPr>
    </w:p>
    <w:p>
      <w:pPr>
        <w:widowControl/>
        <w:spacing w:line="360" w:lineRule="atLeast"/>
        <w:ind w:firstLine="470" w:firstLineChars="196"/>
        <w:jc w:val="left"/>
        <w:outlineLvl w:val="9"/>
        <w:rPr>
          <w:rFonts w:hint="eastAsia" w:ascii="宋体" w:hAnsi="宋体" w:eastAsia="宋体" w:cs="宋体"/>
          <w:color w:val="auto"/>
          <w:sz w:val="24"/>
        </w:rPr>
      </w:pPr>
    </w:p>
    <w:p>
      <w:pPr>
        <w:widowControl/>
        <w:spacing w:line="360" w:lineRule="atLeast"/>
        <w:ind w:firstLine="470" w:firstLineChars="196"/>
        <w:jc w:val="left"/>
        <w:outlineLvl w:val="9"/>
        <w:rPr>
          <w:rFonts w:hint="eastAsia" w:ascii="宋体" w:hAnsi="宋体" w:eastAsia="宋体" w:cs="宋体"/>
          <w:color w:val="auto"/>
          <w:sz w:val="24"/>
        </w:rPr>
      </w:pPr>
    </w:p>
    <w:p>
      <w:pPr>
        <w:widowControl/>
        <w:spacing w:line="360" w:lineRule="atLeast"/>
        <w:ind w:firstLine="470" w:firstLineChars="196"/>
        <w:jc w:val="left"/>
        <w:outlineLvl w:val="9"/>
        <w:rPr>
          <w:rFonts w:hint="eastAsia" w:ascii="宋体" w:hAnsi="宋体" w:eastAsia="宋体" w:cs="宋体"/>
          <w:color w:val="auto"/>
          <w:sz w:val="24"/>
        </w:rPr>
      </w:pPr>
    </w:p>
    <w:p>
      <w:pPr>
        <w:widowControl/>
        <w:spacing w:line="360" w:lineRule="atLeast"/>
        <w:ind w:firstLine="470" w:firstLineChars="196"/>
        <w:jc w:val="left"/>
        <w:outlineLvl w:val="9"/>
        <w:rPr>
          <w:rFonts w:hint="eastAsia" w:ascii="宋体" w:hAnsi="宋体" w:eastAsia="宋体" w:cs="宋体"/>
          <w:color w:val="auto"/>
          <w:sz w:val="24"/>
        </w:rPr>
      </w:pPr>
    </w:p>
    <w:p>
      <w:pPr>
        <w:widowControl/>
        <w:spacing w:line="360" w:lineRule="atLeast"/>
        <w:ind w:firstLine="470" w:firstLineChars="196"/>
        <w:jc w:val="left"/>
        <w:outlineLvl w:val="9"/>
        <w:rPr>
          <w:rFonts w:hint="eastAsia" w:ascii="宋体" w:hAnsi="宋体" w:eastAsia="宋体" w:cs="宋体"/>
          <w:color w:val="auto"/>
          <w:sz w:val="24"/>
        </w:rPr>
      </w:pPr>
    </w:p>
    <w:p>
      <w:pPr>
        <w:widowControl/>
        <w:spacing w:line="360" w:lineRule="atLeast"/>
        <w:ind w:firstLine="470" w:firstLineChars="196"/>
        <w:jc w:val="left"/>
        <w:outlineLvl w:val="9"/>
        <w:rPr>
          <w:rFonts w:hint="eastAsia" w:ascii="宋体" w:hAnsi="宋体" w:eastAsia="宋体" w:cs="宋体"/>
          <w:color w:val="auto"/>
          <w:sz w:val="24"/>
        </w:rPr>
      </w:pPr>
    </w:p>
    <w:p>
      <w:pPr>
        <w:widowControl/>
        <w:spacing w:line="360" w:lineRule="atLeast"/>
        <w:ind w:firstLine="470" w:firstLineChars="196"/>
        <w:jc w:val="left"/>
        <w:outlineLvl w:val="9"/>
        <w:rPr>
          <w:rFonts w:hint="eastAsia" w:ascii="宋体" w:hAnsi="宋体" w:eastAsia="宋体" w:cs="宋体"/>
          <w:color w:val="auto"/>
          <w:sz w:val="24"/>
        </w:rPr>
      </w:pPr>
    </w:p>
    <w:p>
      <w:pPr>
        <w:widowControl/>
        <w:spacing w:line="360" w:lineRule="atLeast"/>
        <w:ind w:firstLine="0" w:firstLineChars="0"/>
        <w:jc w:val="left"/>
        <w:outlineLvl w:val="2"/>
        <w:rPr>
          <w:rFonts w:hint="eastAsia" w:ascii="宋体" w:hAnsi="宋体" w:eastAsia="宋体" w:cs="宋体"/>
          <w:color w:val="auto"/>
          <w:sz w:val="24"/>
        </w:rPr>
      </w:pPr>
      <w:bookmarkStart w:id="86" w:name="_Toc20779"/>
      <w:r>
        <w:rPr>
          <w:rFonts w:hint="eastAsia" w:ascii="宋体" w:hAnsi="宋体" w:eastAsia="宋体" w:cs="宋体"/>
          <w:color w:val="auto"/>
          <w:sz w:val="24"/>
        </w:rPr>
        <w:t>投标人名称：XXXX（单位盖章）。</w:t>
      </w:r>
      <w:bookmarkEnd w:id="86"/>
    </w:p>
    <w:p>
      <w:pPr>
        <w:widowControl/>
        <w:spacing w:line="360" w:lineRule="atLeast"/>
        <w:jc w:val="left"/>
        <w:outlineLvl w:val="1"/>
        <w:rPr>
          <w:rFonts w:hint="eastAsia" w:ascii="宋体" w:hAnsi="宋体" w:eastAsia="宋体" w:cs="宋体"/>
          <w:color w:val="auto"/>
          <w:sz w:val="24"/>
        </w:rPr>
      </w:pPr>
      <w:bookmarkStart w:id="87" w:name="_Toc21602"/>
      <w:r>
        <w:rPr>
          <w:rFonts w:hint="eastAsia" w:ascii="宋体" w:hAnsi="宋体" w:eastAsia="宋体" w:cs="宋体"/>
          <w:color w:val="auto"/>
          <w:sz w:val="24"/>
        </w:rPr>
        <w:t>法定代表人或授权代表（签字或加盖个人名章）：XXXX。</w:t>
      </w:r>
      <w:bookmarkEnd w:id="87"/>
    </w:p>
    <w:p>
      <w:pPr>
        <w:widowControl/>
        <w:spacing w:line="360" w:lineRule="atLeast"/>
        <w:jc w:val="left"/>
        <w:outlineLvl w:val="1"/>
        <w:rPr>
          <w:rFonts w:hint="eastAsia" w:ascii="宋体" w:hAnsi="宋体" w:eastAsia="宋体" w:cs="宋体"/>
          <w:color w:val="auto"/>
          <w:sz w:val="24"/>
        </w:rPr>
      </w:pPr>
      <w:bookmarkStart w:id="88" w:name="_Toc8922"/>
      <w:r>
        <w:rPr>
          <w:rFonts w:hint="eastAsia" w:ascii="宋体" w:hAnsi="宋体" w:eastAsia="宋体" w:cs="宋体"/>
          <w:color w:val="auto"/>
          <w:sz w:val="24"/>
        </w:rPr>
        <w:t>投标日期: XXXX。</w:t>
      </w:r>
      <w:bookmarkEnd w:id="88"/>
    </w:p>
    <w:p>
      <w:pPr>
        <w:widowControl/>
        <w:spacing w:line="360" w:lineRule="atLeast"/>
        <w:ind w:firstLine="470" w:firstLineChars="196"/>
        <w:jc w:val="left"/>
        <w:outlineLvl w:val="9"/>
        <w:rPr>
          <w:rFonts w:hint="eastAsia" w:ascii="宋体" w:hAnsi="宋体" w:eastAsia="宋体" w:cs="宋体"/>
          <w:color w:val="auto"/>
          <w:sz w:val="24"/>
        </w:rPr>
      </w:pPr>
    </w:p>
    <w:p>
      <w:pPr>
        <w:widowControl/>
        <w:spacing w:line="360" w:lineRule="atLeast"/>
        <w:ind w:firstLine="643" w:firstLineChars="200"/>
        <w:jc w:val="both"/>
        <w:outlineLvl w:val="2"/>
        <w:rPr>
          <w:rFonts w:hint="eastAsia" w:ascii="宋体" w:hAnsi="宋体" w:eastAsia="宋体" w:cs="宋体"/>
          <w:b/>
          <w:color w:val="auto"/>
          <w:sz w:val="32"/>
          <w:szCs w:val="32"/>
          <w:lang w:val="en-US" w:eastAsia="zh-CN"/>
        </w:rPr>
        <w:sectPr>
          <w:headerReference r:id="rId18" w:type="default"/>
          <w:footerReference r:id="rId19" w:type="default"/>
          <w:type w:val="continuous"/>
          <w:pgSz w:w="11906" w:h="16838"/>
          <w:pgMar w:top="1440" w:right="1800" w:bottom="1440" w:left="1800" w:header="851" w:footer="992" w:gutter="0"/>
          <w:pgNumType w:fmt="decimal"/>
          <w:cols w:space="720" w:num="1"/>
          <w:docGrid w:type="lines" w:linePitch="312" w:charSpace="0"/>
        </w:sectPr>
      </w:pPr>
    </w:p>
    <w:bookmarkEnd w:id="77"/>
    <w:p>
      <w:pPr>
        <w:spacing w:before="156" w:beforeLines="50" w:after="468" w:afterLines="150"/>
        <w:jc w:val="center"/>
        <w:outlineLvl w:val="0"/>
        <w:rPr>
          <w:rStyle w:val="28"/>
          <w:rFonts w:hint="eastAsia" w:eastAsia="黑体"/>
          <w:color w:val="auto"/>
          <w:highlight w:val="none"/>
        </w:rPr>
      </w:pPr>
      <w:bookmarkStart w:id="89" w:name="_Toc91771176"/>
      <w:bookmarkStart w:id="90" w:name="_Toc14022"/>
      <w:r>
        <w:rPr>
          <w:rFonts w:ascii="黑体" w:hAnsi="黑体" w:eastAsia="黑体"/>
          <w:color w:val="auto"/>
          <w:sz w:val="36"/>
          <w:highlight w:val="none"/>
        </w:rPr>
        <w:t>第</w:t>
      </w:r>
      <w:r>
        <w:rPr>
          <w:rFonts w:hint="eastAsia" w:ascii="黑体" w:hAnsi="黑体" w:eastAsia="黑体"/>
          <w:color w:val="auto"/>
          <w:sz w:val="36"/>
          <w:highlight w:val="none"/>
          <w:lang w:val="en-US" w:eastAsia="zh-CN"/>
        </w:rPr>
        <w:t>五</w:t>
      </w:r>
      <w:r>
        <w:rPr>
          <w:rFonts w:ascii="黑体" w:hAnsi="黑体" w:eastAsia="黑体"/>
          <w:color w:val="auto"/>
          <w:sz w:val="36"/>
          <w:highlight w:val="none"/>
        </w:rPr>
        <w:t>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89"/>
      <w:bookmarkEnd w:id="9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1" w:name="_Toc91771177"/>
      <w:bookmarkStart w:id="92" w:name="_Toc9714"/>
      <w:r>
        <w:rPr>
          <w:rFonts w:hint="eastAsia" w:ascii="宋体" w:hAnsi="宋体"/>
          <w:b/>
          <w:bCs/>
          <w:color w:val="auto"/>
          <w:sz w:val="24"/>
          <w:highlight w:val="none"/>
        </w:rPr>
        <w:t>一、询价程序</w:t>
      </w:r>
      <w:bookmarkEnd w:id="91"/>
      <w:bookmarkEnd w:id="9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3" w:name="_Toc91771178"/>
      <w:bookmarkStart w:id="94" w:name="_Toc7377"/>
      <w:r>
        <w:rPr>
          <w:rFonts w:hint="eastAsia" w:ascii="宋体" w:hAnsi="宋体"/>
          <w:b/>
          <w:bCs/>
          <w:color w:val="auto"/>
          <w:sz w:val="24"/>
          <w:highlight w:val="none"/>
        </w:rPr>
        <w:t>二、评审程序、评审方法、评审标准</w:t>
      </w:r>
      <w:bookmarkEnd w:id="93"/>
      <w:bookmarkEnd w:id="9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5" w:name="_Toc23425"/>
      <w:bookmarkStart w:id="96" w:name="_Toc91771179"/>
      <w:r>
        <w:rPr>
          <w:rFonts w:hint="eastAsia" w:ascii="宋体" w:hAnsi="宋体"/>
          <w:b/>
          <w:bCs/>
          <w:color w:val="auto"/>
          <w:sz w:val="24"/>
          <w:highlight w:val="none"/>
        </w:rPr>
        <w:t>三、评审纪律</w:t>
      </w:r>
      <w:bookmarkEnd w:id="95"/>
      <w:bookmarkEnd w:id="9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5"/>
      <w:bookmarkEnd w:id="36"/>
      <w:bookmarkEnd w:id="37"/>
      <w:bookmarkStart w:id="97" w:name="_Hlt101846155"/>
      <w:bookmarkEnd w:id="97"/>
      <w:bookmarkStart w:id="98" w:name="_Toc217446059"/>
      <w:bookmarkStart w:id="99"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00" w:name="_Toc9277"/>
      <w:bookmarkStart w:id="101" w:name="_Toc91771180"/>
      <w:r>
        <w:rPr>
          <w:rFonts w:hint="eastAsia" w:ascii="黑体" w:hAnsi="黑体" w:eastAsia="黑体"/>
          <w:color w:val="auto"/>
          <w:sz w:val="36"/>
          <w:highlight w:val="none"/>
        </w:rPr>
        <w:t>第</w:t>
      </w:r>
      <w:r>
        <w:rPr>
          <w:rFonts w:hint="eastAsia" w:ascii="黑体" w:hAnsi="黑体" w:eastAsia="黑体"/>
          <w:color w:val="auto"/>
          <w:sz w:val="36"/>
          <w:highlight w:val="none"/>
          <w:lang w:val="en-US" w:eastAsia="zh-CN"/>
        </w:rPr>
        <w:t>六</w:t>
      </w:r>
      <w:r>
        <w:rPr>
          <w:rFonts w:hint="eastAsia" w:ascii="黑体" w:hAnsi="黑体" w:eastAsia="黑体"/>
          <w:color w:val="auto"/>
          <w:sz w:val="36"/>
          <w:highlight w:val="none"/>
        </w:rPr>
        <w:t>章 采购合同（草案）</w:t>
      </w:r>
      <w:bookmarkEnd w:id="100"/>
      <w:bookmarkEnd w:id="101"/>
    </w:p>
    <w:bookmarkEnd w:id="98"/>
    <w:bookmarkEnd w:id="99"/>
    <w:p>
      <w:pPr>
        <w:pStyle w:val="6"/>
        <w:pageBreakBefore w:val="0"/>
        <w:widowControl w:val="0"/>
        <w:kinsoku/>
        <w:wordWrap/>
        <w:overflowPunct/>
        <w:topLinePunct w:val="0"/>
        <w:autoSpaceDE/>
        <w:autoSpaceDN/>
        <w:bidi w:val="0"/>
        <w:adjustRightInd/>
        <w:snapToGrid/>
        <w:spacing w:line="1200" w:lineRule="exact"/>
        <w:jc w:val="center"/>
        <w:textAlignment w:val="auto"/>
        <w:rPr>
          <w:rFonts w:hint="eastAsia" w:ascii="方正小标宋简体" w:hAnsi="方正小标宋简体" w:eastAsia="方正小标宋简体" w:cs="方正小标宋简体"/>
          <w:b/>
          <w:bCs/>
          <w:color w:val="auto"/>
          <w:sz w:val="84"/>
          <w:szCs w:val="84"/>
          <w:lang w:val="en-US" w:eastAsia="zh-CN"/>
        </w:rPr>
      </w:pPr>
      <w:bookmarkStart w:id="102" w:name="_Toc32227"/>
      <w:bookmarkStart w:id="103" w:name="_Toc12179"/>
      <w:r>
        <w:rPr>
          <w:rFonts w:hint="eastAsia" w:ascii="方正小标宋简体" w:hAnsi="方正小标宋简体" w:eastAsia="方正小标宋简体" w:cs="方正小标宋简体"/>
          <w:b/>
          <w:bCs/>
          <w:color w:val="auto"/>
          <w:sz w:val="84"/>
          <w:szCs w:val="84"/>
          <w:lang w:val="en-US" w:eastAsia="zh-CN"/>
        </w:rPr>
        <w:t>2025年江阳公园</w:t>
      </w:r>
      <w:bookmarkEnd w:id="102"/>
      <w:bookmarkEnd w:id="103"/>
    </w:p>
    <w:p>
      <w:pPr>
        <w:pStyle w:val="6"/>
        <w:pageBreakBefore w:val="0"/>
        <w:widowControl w:val="0"/>
        <w:kinsoku/>
        <w:wordWrap/>
        <w:overflowPunct/>
        <w:topLinePunct w:val="0"/>
        <w:autoSpaceDE/>
        <w:autoSpaceDN/>
        <w:bidi w:val="0"/>
        <w:adjustRightInd/>
        <w:snapToGrid/>
        <w:spacing w:line="1200" w:lineRule="exact"/>
        <w:jc w:val="center"/>
        <w:textAlignment w:val="auto"/>
        <w:rPr>
          <w:rFonts w:hint="default" w:ascii="方正小标宋简体" w:hAnsi="方正小标宋简体" w:eastAsia="方正小标宋简体" w:cs="方正小标宋简体"/>
          <w:b w:val="0"/>
          <w:bCs w:val="0"/>
          <w:sz w:val="32"/>
          <w:szCs w:val="32"/>
          <w:lang w:val="en-US" w:eastAsia="zh-CN"/>
        </w:rPr>
      </w:pPr>
      <w:bookmarkStart w:id="104" w:name="_Toc16671"/>
      <w:bookmarkStart w:id="105" w:name="_Toc11681"/>
      <w:r>
        <w:rPr>
          <w:rFonts w:hint="eastAsia" w:ascii="方正小标宋简体" w:hAnsi="方正小标宋简体" w:eastAsia="方正小标宋简体" w:cs="方正小标宋简体"/>
          <w:b/>
          <w:bCs/>
          <w:color w:val="auto"/>
          <w:sz w:val="84"/>
          <w:szCs w:val="84"/>
          <w:lang w:val="en-US" w:eastAsia="zh-CN"/>
        </w:rPr>
        <w:t>农药采购合同</w:t>
      </w:r>
      <w:bookmarkEnd w:id="104"/>
      <w:bookmarkEnd w:id="105"/>
    </w:p>
    <w:p>
      <w:pPr>
        <w:pStyle w:val="6"/>
        <w:pageBreakBefore w:val="0"/>
        <w:kinsoku/>
        <w:wordWrap/>
        <w:overflowPunct/>
        <w:topLinePunct w:val="0"/>
        <w:bidi w:val="0"/>
        <w:spacing w:line="400" w:lineRule="exact"/>
        <w:ind w:firstLine="640" w:firstLineChars="200"/>
        <w:jc w:val="both"/>
        <w:rPr>
          <w:rFonts w:hint="eastAsia" w:ascii="方正小标宋简体" w:hAnsi="方正小标宋简体" w:eastAsia="方正小标宋简体" w:cs="方正小标宋简体"/>
          <w:b w:val="0"/>
          <w:bCs w:val="0"/>
          <w:sz w:val="32"/>
          <w:szCs w:val="32"/>
          <w:lang w:val="en-US" w:eastAsia="zh-CN"/>
        </w:rPr>
      </w:pPr>
    </w:p>
    <w:p>
      <w:pPr>
        <w:pStyle w:val="6"/>
        <w:pageBreakBefore w:val="0"/>
        <w:kinsoku/>
        <w:wordWrap/>
        <w:overflowPunct/>
        <w:topLinePunct w:val="0"/>
        <w:bidi w:val="0"/>
        <w:spacing w:line="400" w:lineRule="exact"/>
        <w:ind w:firstLine="640" w:firstLineChars="200"/>
        <w:jc w:val="both"/>
        <w:rPr>
          <w:rFonts w:hint="eastAsia" w:ascii="方正小标宋简体" w:hAnsi="方正小标宋简体" w:eastAsia="方正小标宋简体" w:cs="方正小标宋简体"/>
          <w:b w:val="0"/>
          <w:bCs w:val="0"/>
          <w:sz w:val="32"/>
          <w:szCs w:val="32"/>
          <w:lang w:val="en-US" w:eastAsia="zh-CN"/>
        </w:rPr>
      </w:pPr>
    </w:p>
    <w:p>
      <w:pPr>
        <w:pStyle w:val="6"/>
        <w:pageBreakBefore w:val="0"/>
        <w:kinsoku/>
        <w:wordWrap/>
        <w:overflowPunct/>
        <w:topLinePunct w:val="0"/>
        <w:bidi w:val="0"/>
        <w:spacing w:line="400" w:lineRule="exact"/>
        <w:ind w:firstLine="640" w:firstLineChars="200"/>
        <w:jc w:val="both"/>
        <w:rPr>
          <w:rFonts w:hint="eastAsia" w:ascii="方正小标宋简体" w:hAnsi="方正小标宋简体" w:eastAsia="方正小标宋简体" w:cs="方正小标宋简体"/>
          <w:b w:val="0"/>
          <w:bCs w:val="0"/>
          <w:sz w:val="32"/>
          <w:szCs w:val="32"/>
          <w:lang w:val="en-US" w:eastAsia="zh-CN"/>
        </w:rPr>
      </w:pPr>
    </w:p>
    <w:p>
      <w:pPr>
        <w:pStyle w:val="6"/>
        <w:pageBreakBefore w:val="0"/>
        <w:kinsoku/>
        <w:wordWrap/>
        <w:overflowPunct/>
        <w:topLinePunct w:val="0"/>
        <w:bidi w:val="0"/>
        <w:spacing w:line="400" w:lineRule="exact"/>
        <w:ind w:firstLine="640" w:firstLineChars="200"/>
        <w:jc w:val="both"/>
        <w:rPr>
          <w:rFonts w:hint="eastAsia" w:ascii="方正小标宋简体" w:hAnsi="方正小标宋简体" w:eastAsia="方正小标宋简体" w:cs="方正小标宋简体"/>
          <w:b w:val="0"/>
          <w:bCs w:val="0"/>
          <w:sz w:val="32"/>
          <w:szCs w:val="32"/>
          <w:lang w:val="en-US" w:eastAsia="zh-CN"/>
        </w:rPr>
      </w:pPr>
    </w:p>
    <w:p>
      <w:pPr>
        <w:pStyle w:val="6"/>
        <w:pageBreakBefore w:val="0"/>
        <w:kinsoku/>
        <w:wordWrap/>
        <w:overflowPunct/>
        <w:topLinePunct w:val="0"/>
        <w:bidi w:val="0"/>
        <w:spacing w:line="400" w:lineRule="exact"/>
        <w:ind w:firstLine="640" w:firstLineChars="200"/>
        <w:jc w:val="both"/>
        <w:rPr>
          <w:rFonts w:hint="eastAsia" w:ascii="方正小标宋简体" w:hAnsi="方正小标宋简体" w:eastAsia="方正小标宋简体" w:cs="方正小标宋简体"/>
          <w:b w:val="0"/>
          <w:bCs w:val="0"/>
          <w:sz w:val="32"/>
          <w:szCs w:val="32"/>
          <w:lang w:val="en-US" w:eastAsia="zh-CN"/>
        </w:rPr>
      </w:pPr>
    </w:p>
    <w:p>
      <w:pPr>
        <w:pStyle w:val="6"/>
        <w:pageBreakBefore w:val="0"/>
        <w:kinsoku/>
        <w:wordWrap/>
        <w:overflowPunct/>
        <w:topLinePunct w:val="0"/>
        <w:bidi w:val="0"/>
        <w:spacing w:line="400" w:lineRule="exact"/>
        <w:ind w:firstLine="640" w:firstLineChars="200"/>
        <w:jc w:val="both"/>
        <w:rPr>
          <w:rFonts w:hint="eastAsia" w:ascii="方正小标宋简体" w:hAnsi="方正小标宋简体" w:eastAsia="方正小标宋简体" w:cs="方正小标宋简体"/>
          <w:b w:val="0"/>
          <w:bCs w:val="0"/>
          <w:sz w:val="32"/>
          <w:szCs w:val="32"/>
          <w:lang w:val="en-US" w:eastAsia="zh-CN"/>
        </w:rPr>
      </w:pPr>
    </w:p>
    <w:p>
      <w:pPr>
        <w:pStyle w:val="6"/>
        <w:pageBreakBefore w:val="0"/>
        <w:kinsoku/>
        <w:wordWrap/>
        <w:overflowPunct/>
        <w:topLinePunct w:val="0"/>
        <w:bidi w:val="0"/>
        <w:spacing w:line="400" w:lineRule="exact"/>
        <w:ind w:firstLine="640" w:firstLineChars="200"/>
        <w:jc w:val="both"/>
        <w:rPr>
          <w:rFonts w:hint="default" w:ascii="方正小标宋简体" w:hAnsi="方正小标宋简体" w:eastAsia="方正小标宋简体" w:cs="方正小标宋简体"/>
          <w:b w:val="0"/>
          <w:bCs w:val="0"/>
          <w:sz w:val="32"/>
          <w:szCs w:val="32"/>
          <w:lang w:val="en-US" w:eastAsia="zh-CN"/>
        </w:rPr>
      </w:pPr>
      <w:bookmarkStart w:id="106" w:name="_Toc1344"/>
      <w:bookmarkStart w:id="107" w:name="_Toc14403"/>
      <w:r>
        <w:rPr>
          <w:rFonts w:hint="eastAsia" w:ascii="方正小标宋简体" w:hAnsi="方正小标宋简体" w:eastAsia="方正小标宋简体" w:cs="方正小标宋简体"/>
          <w:b w:val="0"/>
          <w:bCs w:val="0"/>
          <w:sz w:val="32"/>
          <w:szCs w:val="32"/>
          <w:lang w:val="en-US" w:eastAsia="zh-CN"/>
        </w:rPr>
        <w:t>甲方：泸州市江阳区醉美城市公园管理有限公司</w:t>
      </w:r>
      <w:bookmarkEnd w:id="106"/>
      <w:bookmarkEnd w:id="107"/>
    </w:p>
    <w:p>
      <w:pPr>
        <w:ind w:firstLine="640" w:firstLineChars="200"/>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乙方：</w:t>
      </w:r>
    </w:p>
    <w:p>
      <w:pPr>
        <w:pStyle w:val="2"/>
        <w:ind w:firstLine="640" w:firstLineChars="200"/>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签订日期：</w:t>
      </w:r>
    </w:p>
    <w:p>
      <w:pPr>
        <w:spacing w:line="520" w:lineRule="exact"/>
        <w:jc w:val="center"/>
        <w:rPr>
          <w:rFonts w:hint="eastAsia" w:ascii="宋体" w:hAnsi="宋体" w:eastAsia="宋体" w:cs="宋体"/>
          <w:b/>
          <w:bCs/>
          <w:color w:val="auto"/>
          <w:sz w:val="24"/>
          <w:szCs w:val="24"/>
          <w:lang w:val="en-US" w:eastAsia="zh-CN"/>
        </w:rPr>
      </w:pPr>
      <w:permStart w:id="0" w:edGrp="everyone"/>
    </w:p>
    <w:p>
      <w:pPr>
        <w:spacing w:line="520" w:lineRule="exact"/>
        <w:jc w:val="center"/>
        <w:rPr>
          <w:rFonts w:hint="eastAsia" w:ascii="宋体" w:hAnsi="宋体" w:eastAsia="宋体" w:cs="宋体"/>
          <w:b/>
          <w:bCs/>
          <w:color w:val="auto"/>
          <w:sz w:val="24"/>
          <w:szCs w:val="24"/>
          <w:lang w:val="en-US" w:eastAsia="zh-CN"/>
        </w:rPr>
      </w:pPr>
    </w:p>
    <w:p>
      <w:pPr>
        <w:spacing w:line="520" w:lineRule="exact"/>
        <w:jc w:val="center"/>
        <w:rPr>
          <w:rFonts w:hint="eastAsia" w:ascii="宋体" w:hAnsi="宋体" w:eastAsia="宋体" w:cs="宋体"/>
          <w:b/>
          <w:bCs/>
          <w:color w:val="auto"/>
          <w:sz w:val="24"/>
          <w:szCs w:val="24"/>
          <w:lang w:val="en-US" w:eastAsia="zh-CN"/>
        </w:rPr>
      </w:pPr>
    </w:p>
    <w:p>
      <w:pPr>
        <w:spacing w:line="520" w:lineRule="exact"/>
        <w:jc w:val="center"/>
        <w:rPr>
          <w:rFonts w:hint="eastAsia" w:ascii="宋体" w:hAnsi="宋体" w:eastAsia="宋体" w:cs="宋体"/>
          <w:b/>
          <w:bCs/>
          <w:color w:val="auto"/>
          <w:sz w:val="24"/>
          <w:szCs w:val="24"/>
          <w:lang w:val="en-US" w:eastAsia="zh-CN"/>
        </w:rPr>
      </w:pPr>
    </w:p>
    <w:p>
      <w:pPr>
        <w:pStyle w:val="2"/>
        <w:rPr>
          <w:rFonts w:hint="eastAsia" w:ascii="宋体" w:hAnsi="宋体" w:eastAsia="宋体" w:cs="宋体"/>
          <w:b/>
          <w:bCs/>
          <w:color w:val="auto"/>
          <w:sz w:val="24"/>
          <w:szCs w:val="24"/>
          <w:lang w:val="en-US" w:eastAsia="zh-CN"/>
        </w:rPr>
      </w:pPr>
    </w:p>
    <w:p>
      <w:pPr>
        <w:pStyle w:val="3"/>
        <w:rPr>
          <w:rFonts w:hint="eastAsia" w:ascii="宋体" w:hAnsi="宋体" w:eastAsia="宋体" w:cs="宋体"/>
          <w:b/>
          <w:bCs/>
          <w:color w:val="auto"/>
          <w:sz w:val="24"/>
          <w:szCs w:val="24"/>
          <w:lang w:val="en-US" w:eastAsia="zh-CN"/>
        </w:rPr>
      </w:pPr>
    </w:p>
    <w:p>
      <w:pPr>
        <w:pStyle w:val="5"/>
        <w:rPr>
          <w:rFonts w:hint="eastAsia" w:ascii="宋体" w:hAnsi="宋体" w:eastAsia="宋体" w:cs="宋体"/>
          <w:b/>
          <w:bCs/>
          <w:color w:val="auto"/>
          <w:sz w:val="24"/>
          <w:szCs w:val="24"/>
          <w:lang w:val="en-US" w:eastAsia="zh-CN"/>
        </w:rPr>
      </w:pPr>
    </w:p>
    <w:p>
      <w:pPr>
        <w:rPr>
          <w:rFonts w:hint="eastAsia"/>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方正小标宋简体" w:hAnsi="方正小标宋简体" w:eastAsia="方正小标宋简体" w:cs="方正小标宋简体"/>
          <w:b w:val="0"/>
          <w:bCs w:val="0"/>
          <w:color w:val="auto"/>
          <w:sz w:val="44"/>
          <w:szCs w:val="44"/>
          <w:lang w:val="en-US" w:eastAsia="zh-CN"/>
        </w:rPr>
        <w:t>2025年江阳公园农药采购合同</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color w:val="auto"/>
          <w:kern w:val="2"/>
          <w:sz w:val="28"/>
          <w:szCs w:val="28"/>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line="350" w:lineRule="exact"/>
        <w:textAlignment w:val="auto"/>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甲方（采购人）：泸州市江阳区醉美城市公园管理有限公司</w:t>
      </w:r>
    </w:p>
    <w:p>
      <w:pPr>
        <w:keepNext w:val="0"/>
        <w:keepLines w:val="0"/>
        <w:pageBreakBefore w:val="0"/>
        <w:widowControl w:val="0"/>
        <w:kinsoku/>
        <w:wordWrap/>
        <w:overflowPunct/>
        <w:topLinePunct w:val="0"/>
        <w:autoSpaceDE w:val="0"/>
        <w:autoSpaceDN w:val="0"/>
        <w:bidi w:val="0"/>
        <w:adjustRightInd w:val="0"/>
        <w:snapToGrid w:val="0"/>
        <w:spacing w:line="350" w:lineRule="exact"/>
        <w:textAlignment w:val="auto"/>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 xml:space="preserve">统一社会信用代码：91510502071441903H   </w:t>
      </w:r>
    </w:p>
    <w:p>
      <w:pPr>
        <w:keepNext w:val="0"/>
        <w:keepLines w:val="0"/>
        <w:pageBreakBefore w:val="0"/>
        <w:widowControl w:val="0"/>
        <w:kinsoku/>
        <w:wordWrap/>
        <w:overflowPunct/>
        <w:topLinePunct w:val="0"/>
        <w:autoSpaceDE w:val="0"/>
        <w:autoSpaceDN w:val="0"/>
        <w:bidi w:val="0"/>
        <w:adjustRightInd w:val="0"/>
        <w:snapToGrid w:val="0"/>
        <w:spacing w:line="350" w:lineRule="exact"/>
        <w:textAlignment w:val="auto"/>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法定代表人/负责人：魏强</w:t>
      </w:r>
    </w:p>
    <w:p>
      <w:pPr>
        <w:pStyle w:val="2"/>
        <w:rPr>
          <w:rFonts w:hint="eastAsia"/>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50" w:lineRule="exact"/>
        <w:textAlignment w:val="auto"/>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 xml:space="preserve">乙方（成交人）：  </w:t>
      </w:r>
    </w:p>
    <w:p>
      <w:pPr>
        <w:keepNext w:val="0"/>
        <w:keepLines w:val="0"/>
        <w:pageBreakBefore w:val="0"/>
        <w:widowControl w:val="0"/>
        <w:kinsoku/>
        <w:wordWrap/>
        <w:overflowPunct/>
        <w:topLinePunct w:val="0"/>
        <w:autoSpaceDE w:val="0"/>
        <w:autoSpaceDN w:val="0"/>
        <w:bidi w:val="0"/>
        <w:adjustRightInd w:val="0"/>
        <w:snapToGrid w:val="0"/>
        <w:spacing w:line="350" w:lineRule="exact"/>
        <w:textAlignment w:val="auto"/>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 xml:space="preserve">统一社会信用代码/身份证号码： </w:t>
      </w:r>
    </w:p>
    <w:p>
      <w:pPr>
        <w:keepNext w:val="0"/>
        <w:keepLines w:val="0"/>
        <w:pageBreakBefore w:val="0"/>
        <w:widowControl w:val="0"/>
        <w:kinsoku/>
        <w:wordWrap/>
        <w:overflowPunct/>
        <w:topLinePunct w:val="0"/>
        <w:autoSpaceDE w:val="0"/>
        <w:autoSpaceDN w:val="0"/>
        <w:bidi w:val="0"/>
        <w:adjustRightInd w:val="0"/>
        <w:snapToGrid w:val="0"/>
        <w:spacing w:line="350" w:lineRule="exact"/>
        <w:textAlignment w:val="auto"/>
        <w:rPr>
          <w:rFonts w:hint="eastAsia" w:ascii="楷体" w:hAnsi="楷体" w:eastAsia="楷体" w:cs="楷体"/>
          <w:sz w:val="28"/>
          <w:szCs w:val="28"/>
        </w:rPr>
      </w:pPr>
      <w:r>
        <w:rPr>
          <w:rFonts w:hint="eastAsia" w:ascii="楷体" w:hAnsi="楷体" w:eastAsia="楷体" w:cs="楷体"/>
          <w:color w:val="auto"/>
          <w:kern w:val="2"/>
          <w:sz w:val="28"/>
          <w:szCs w:val="28"/>
          <w:lang w:val="en-US" w:eastAsia="zh-CN" w:bidi="ar-SA"/>
        </w:rPr>
        <w:t>法定代表人/负责人：</w:t>
      </w:r>
      <w:permEnd w:id="0"/>
    </w:p>
    <w:p>
      <w:pPr>
        <w:keepNext w:val="0"/>
        <w:keepLines w:val="0"/>
        <w:pageBreakBefore w:val="0"/>
        <w:widowControl w:val="0"/>
        <w:kinsoku/>
        <w:wordWrap/>
        <w:overflowPunct/>
        <w:topLinePunct w:val="0"/>
        <w:bidi w:val="0"/>
        <w:spacing w:line="350" w:lineRule="exact"/>
        <w:textAlignment w:val="auto"/>
        <w:rPr>
          <w:rFonts w:ascii="宋体" w:hAnsi="宋体" w:eastAsia="宋体"/>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8"/>
          <w:szCs w:val="28"/>
          <w:highlight w:val="none"/>
        </w:rPr>
      </w:pPr>
      <w:r>
        <w:rPr>
          <w:rFonts w:hint="eastAsia" w:ascii="宋体" w:hAnsi="宋体" w:eastAsia="宋体"/>
          <w:sz w:val="24"/>
          <w:highlight w:val="none"/>
        </w:rPr>
        <w:t xml:space="preserve"> </w:t>
      </w:r>
      <w:r>
        <w:rPr>
          <w:rFonts w:hint="eastAsia" w:ascii="仿宋_GB2312" w:hAnsi="仿宋_GB2312" w:eastAsia="仿宋_GB2312" w:cs="仿宋_GB2312"/>
          <w:color w:val="auto"/>
          <w:sz w:val="28"/>
          <w:szCs w:val="28"/>
          <w:highlight w:val="none"/>
        </w:rPr>
        <w:t xml:space="preserve">  根据《中华人民共和国</w:t>
      </w:r>
      <w:r>
        <w:rPr>
          <w:rFonts w:hint="eastAsia" w:ascii="仿宋_GB2312" w:hAnsi="仿宋_GB2312" w:eastAsia="仿宋_GB2312" w:cs="仿宋_GB2312"/>
          <w:color w:val="auto"/>
          <w:sz w:val="28"/>
          <w:szCs w:val="28"/>
          <w:highlight w:val="none"/>
          <w:lang w:eastAsia="zh-CN"/>
        </w:rPr>
        <w:t>民法典</w:t>
      </w:r>
      <w:r>
        <w:rPr>
          <w:rFonts w:hint="eastAsia" w:ascii="仿宋_GB2312" w:hAnsi="仿宋_GB2312" w:eastAsia="仿宋_GB2312" w:cs="仿宋_GB2312"/>
          <w:color w:val="auto"/>
          <w:sz w:val="28"/>
          <w:szCs w:val="28"/>
          <w:highlight w:val="none"/>
        </w:rPr>
        <w:t>》及</w:t>
      </w:r>
      <w:r>
        <w:rPr>
          <w:rFonts w:hint="eastAsia" w:ascii="仿宋_GB2312" w:hAnsi="仿宋_GB2312" w:eastAsia="仿宋_GB2312" w:cs="仿宋_GB2312"/>
          <w:color w:val="auto"/>
          <w:sz w:val="28"/>
          <w:szCs w:val="28"/>
          <w:highlight w:val="none"/>
          <w:lang w:val="en-US" w:eastAsia="zh-CN"/>
        </w:rPr>
        <w:t>2025年江阳公园农药</w:t>
      </w:r>
      <w:r>
        <w:rPr>
          <w:rFonts w:hint="eastAsia" w:ascii="仿宋_GB2312" w:hAnsi="仿宋_GB2312" w:eastAsia="仿宋_GB2312" w:cs="仿宋_GB2312"/>
          <w:color w:val="auto"/>
          <w:sz w:val="28"/>
          <w:szCs w:val="28"/>
          <w:highlight w:val="none"/>
        </w:rPr>
        <w:t>采购项目（项目编号：</w:t>
      </w:r>
      <w:r>
        <w:rPr>
          <w:rFonts w:hint="eastAsia" w:ascii="仿宋_GB2312" w:hAnsi="仿宋_GB2312" w:eastAsia="仿宋_GB2312" w:cs="仿宋_GB2312"/>
          <w:color w:val="auto"/>
          <w:sz w:val="28"/>
          <w:szCs w:val="28"/>
          <w:highlight w:val="none"/>
          <w:lang w:val="en-US" w:eastAsia="zh-CN"/>
        </w:rPr>
        <w:t>XYCG【2025】0 号</w:t>
      </w:r>
      <w:r>
        <w:rPr>
          <w:rFonts w:hint="eastAsia" w:ascii="仿宋_GB2312" w:hAnsi="仿宋_GB2312" w:eastAsia="仿宋_GB2312" w:cs="仿宋_GB2312"/>
          <w:color w:val="auto"/>
          <w:sz w:val="28"/>
          <w:szCs w:val="28"/>
          <w:highlight w:val="none"/>
        </w:rPr>
        <w:t>）的询价文件、乙方的响应文件及《成交通知书》，甲、乙双方同意签订本合同。详细技术说明及其他有关合同项目的特定信息由合同附件予以说明，合同附件为本合同不可分割的部分。双方同意共同遵守如下条款：</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供货内容、价格及数量</w:t>
      </w:r>
    </w:p>
    <w:p>
      <w:pPr>
        <w:keepNext w:val="0"/>
        <w:keepLines w:val="0"/>
        <w:pageBreakBefore w:val="0"/>
        <w:widowControl w:val="0"/>
        <w:kinsoku/>
        <w:wordWrap/>
        <w:overflowPunct/>
        <w:topLinePunct w:val="0"/>
        <w:autoSpaceDE/>
        <w:autoSpaceDN/>
        <w:bidi w:val="0"/>
        <w:adjustRightInd/>
        <w:snapToGrid/>
        <w:spacing w:before="0" w:beforeLines="0" w:line="3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1.暂定</w:t>
      </w:r>
      <w:r>
        <w:rPr>
          <w:rFonts w:hint="eastAsia" w:ascii="仿宋_GB2312" w:hAnsi="仿宋_GB2312" w:eastAsia="仿宋_GB2312" w:cs="仿宋_GB2312"/>
          <w:color w:val="auto"/>
          <w:sz w:val="28"/>
          <w:szCs w:val="28"/>
          <w:highlight w:val="none"/>
        </w:rPr>
        <w:t>合同金额：人民币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元 </w:t>
      </w:r>
      <w:r>
        <w:rPr>
          <w:rFonts w:hint="eastAsia" w:ascii="仿宋_GB2312" w:hAnsi="仿宋_GB2312" w:eastAsia="仿宋_GB2312" w:cs="仿宋_GB2312"/>
          <w:color w:val="auto"/>
          <w:sz w:val="28"/>
          <w:szCs w:val="28"/>
          <w:highlight w:val="none"/>
        </w:rPr>
        <w:t>（含税）元(大写：</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详见附件</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0" w:beforeLines="0" w:line="3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所有报价均用人民币表示，所报单价是包干价即包括但不限于材料费、人工费、运输费、搬运费、下车费、管理费、利润、</w:t>
      </w:r>
      <w:r>
        <w:rPr>
          <w:rFonts w:hint="eastAsia" w:ascii="仿宋_GB2312" w:hAnsi="仿宋_GB2312" w:eastAsia="仿宋_GB2312" w:cs="仿宋_GB2312"/>
          <w:color w:val="auto"/>
          <w:sz w:val="28"/>
          <w:szCs w:val="28"/>
          <w:highlight w:val="none"/>
          <w:lang w:val="en-US" w:eastAsia="zh-CN"/>
        </w:rPr>
        <w:t>配送费、</w:t>
      </w:r>
      <w:r>
        <w:rPr>
          <w:rFonts w:hint="eastAsia" w:ascii="仿宋_GB2312" w:hAnsi="仿宋_GB2312" w:eastAsia="仿宋_GB2312" w:cs="仿宋_GB2312"/>
          <w:color w:val="auto"/>
          <w:sz w:val="28"/>
          <w:szCs w:val="28"/>
          <w:highlight w:val="none"/>
        </w:rPr>
        <w:t>税金</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u w:val="single"/>
          <w:lang w:val="en-US" w:eastAsia="zh-CN"/>
        </w:rPr>
        <w:t xml:space="preserve">   %</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auto"/>
          <w:sz w:val="28"/>
          <w:szCs w:val="28"/>
          <w:highlight w:val="none"/>
        </w:rPr>
        <w:t>等完成本项目所需的一切费用。</w:t>
      </w:r>
    </w:p>
    <w:p>
      <w:pPr>
        <w:keepNext w:val="0"/>
        <w:keepLines w:val="0"/>
        <w:pageBreakBefore w:val="0"/>
        <w:widowControl w:val="0"/>
        <w:kinsoku/>
        <w:wordWrap/>
        <w:overflowPunct/>
        <w:topLinePunct w:val="0"/>
        <w:autoSpaceDE/>
        <w:autoSpaceDN/>
        <w:bidi w:val="0"/>
        <w:adjustRightInd/>
        <w:snapToGrid/>
        <w:spacing w:before="0" w:beforeLines="0" w:line="3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kern w:val="0"/>
          <w:sz w:val="28"/>
          <w:szCs w:val="28"/>
          <w:highlight w:val="none"/>
          <w:lang w:val="en-US" w:eastAsia="zh-CN" w:bidi="ar-SA"/>
        </w:rPr>
        <w:t>合同形式是</w:t>
      </w:r>
      <w:r>
        <w:rPr>
          <w:rFonts w:hint="eastAsia" w:ascii="仿宋_GB2312" w:hAnsi="仿宋_GB2312" w:eastAsia="仿宋_GB2312" w:cs="仿宋_GB2312"/>
          <w:b/>
          <w:bCs/>
          <w:color w:val="auto"/>
          <w:kern w:val="0"/>
          <w:sz w:val="28"/>
          <w:szCs w:val="28"/>
          <w:highlight w:val="none"/>
          <w:u w:val="single"/>
          <w:lang w:val="en-US" w:eastAsia="zh-CN" w:bidi="ar-SA"/>
        </w:rPr>
        <w:t>单价</w:t>
      </w:r>
      <w:r>
        <w:rPr>
          <w:rFonts w:hint="eastAsia" w:ascii="仿宋_GB2312" w:hAnsi="仿宋_GB2312" w:eastAsia="仿宋_GB2312" w:cs="仿宋_GB2312"/>
          <w:color w:val="auto"/>
          <w:kern w:val="0"/>
          <w:sz w:val="28"/>
          <w:szCs w:val="28"/>
          <w:highlight w:val="none"/>
          <w:lang w:val="en-US" w:eastAsia="zh-CN" w:bidi="ar-SA"/>
        </w:rPr>
        <w:t>合同，采购数量</w:t>
      </w:r>
      <w:r>
        <w:rPr>
          <w:rFonts w:hint="eastAsia" w:ascii="仿宋_GB2312" w:hAnsi="仿宋_GB2312" w:eastAsia="仿宋_GB2312" w:cs="仿宋_GB2312"/>
          <w:color w:val="auto"/>
          <w:sz w:val="28"/>
          <w:szCs w:val="28"/>
          <w:highlight w:val="none"/>
          <w:lang w:val="en-US" w:eastAsia="zh-CN"/>
        </w:rPr>
        <w:t>按照实际交付的数量结算</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二、交货时间、地点</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1.合同期限：1年，   年   月   日起至   年   月   日止。</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交货时间：</w:t>
      </w:r>
      <w:r>
        <w:rPr>
          <w:rFonts w:hint="eastAsia" w:ascii="仿宋_GB2312" w:hAnsi="仿宋_GB2312" w:eastAsia="仿宋_GB2312" w:cs="仿宋_GB2312"/>
          <w:color w:val="auto"/>
          <w:sz w:val="28"/>
          <w:szCs w:val="28"/>
          <w:highlight w:val="none"/>
          <w:lang w:val="en-US" w:eastAsia="zh-CN"/>
        </w:rPr>
        <w:t>乙方接到甲方供货通知后5个日历日内供货</w:t>
      </w:r>
      <w:r>
        <w:rPr>
          <w:rFonts w:hint="eastAsia" w:ascii="仿宋_GB2312" w:hAnsi="仿宋_GB2312" w:eastAsia="仿宋_GB2312" w:cs="仿宋_GB2312"/>
          <w:color w:val="auto"/>
          <w:sz w:val="28"/>
          <w:szCs w:val="28"/>
          <w:highlight w:val="none"/>
          <w:lang w:val="zh-CN" w:eastAsia="zh-CN"/>
        </w:rPr>
        <w:t>。</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交货地点：</w:t>
      </w:r>
      <w:r>
        <w:rPr>
          <w:rFonts w:hint="eastAsia" w:ascii="仿宋_GB2312" w:hAnsi="仿宋_GB2312" w:eastAsia="仿宋_GB2312" w:cs="仿宋_GB2312"/>
          <w:color w:val="auto"/>
          <w:sz w:val="28"/>
          <w:szCs w:val="28"/>
          <w:highlight w:val="none"/>
          <w:lang w:val="en-US" w:eastAsia="zh-CN"/>
        </w:rPr>
        <w:t>江阳公园、夜知味</w:t>
      </w:r>
      <w:r>
        <w:rPr>
          <w:rFonts w:hint="eastAsia" w:ascii="仿宋_GB2312" w:hAnsi="仿宋_GB2312" w:eastAsia="仿宋_GB2312" w:cs="仿宋_GB2312"/>
          <w:color w:val="auto"/>
          <w:sz w:val="28"/>
          <w:szCs w:val="28"/>
          <w:highlight w:val="none"/>
          <w:lang w:eastAsia="zh-CN"/>
        </w:rPr>
        <w:t>。</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4.货物的损毁灭失风险自乙方将货物运送至甲方指定地点验收完毕并合格后转移给甲方。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三、质量技术指标及质量验收标准</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1.交货时需提供供货产品合格证明文件，必须符合国家标准（无国标的按行业标准、企业标准、以此类推）。如乙方提供假冒伪劣产品，甲方有权要求停止供货或拒收，并向相关部门进行举报。</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2.乙方交货时提供的农药及化肥生产日期在最近10个月内；否则，甲方有权拒绝收货。</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3.交货过程中如发现漏袋、损坏等质量不合格情况，乙方应免费无条件、快速的予以更换；否则，甲方有权拒绝收货。</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4.乙方经营产品如出现严重质量问题，暂停乙方供货，并追究相</w:t>
      </w:r>
      <w:r>
        <w:rPr>
          <w:rFonts w:hint="eastAsia" w:ascii="仿宋_GB2312" w:hAnsi="仿宋_GB2312" w:eastAsia="仿宋_GB2312" w:cs="仿宋_GB2312"/>
          <w:color w:val="auto"/>
          <w:sz w:val="28"/>
          <w:szCs w:val="28"/>
          <w:highlight w:val="none"/>
          <w:lang w:val="en-US" w:eastAsia="zh-CN"/>
        </w:rPr>
        <w:t>关法律责任。</w:t>
      </w:r>
    </w:p>
    <w:p>
      <w:pPr>
        <w:pStyle w:val="34"/>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default" w:ascii="Times New Roman" w:hAnsi="Times New Roman" w:eastAsia="仿宋_GB2312" w:cs="Times New Roman"/>
          <w:b w:val="0"/>
          <w:bCs w:val="0"/>
          <w:color w:val="00000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5.乙方应保证所提供的商品不侵犯第三方的专利权、商标权、著作权或其他知识产权。</w:t>
      </w:r>
      <w:r>
        <w:rPr>
          <w:rFonts w:hint="default" w:ascii="Times New Roman" w:hAnsi="Times New Roman" w:eastAsia="仿宋_GB2312" w:cs="Times New Roman"/>
          <w:b w:val="0"/>
          <w:bCs w:val="0"/>
          <w:color w:val="000000"/>
          <w:sz w:val="28"/>
          <w:szCs w:val="28"/>
          <w:highlight w:val="none"/>
          <w:lang w:val="en-US" w:eastAsia="zh-CN"/>
        </w:rPr>
        <w:t>如乙方提供的产品被第三方通过民事诉讼、行政禁令等方式指控侵犯了第三方的权利,导致甲方面临索赔的,乙方将就上述权利主张为甲方辩护和补偿,并向甲方赔偿由此遭受的实际损失, 包括但不限于甲方实际支出的诉讼费、合理的律师费及被权力机关判处的处罚款。</w:t>
      </w:r>
    </w:p>
    <w:p>
      <w:pPr>
        <w:pStyle w:val="34"/>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6.本项目提供的有机肥符合以下标准：</w:t>
      </w:r>
    </w:p>
    <w:p>
      <w:pPr>
        <w:pStyle w:val="34"/>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6.1生物有机肥执行标准:NY884-2012及无害化指标，粪大肠菌群数≤100个/g蛔虫卵死亡率&gt;95%。</w:t>
      </w:r>
    </w:p>
    <w:p>
      <w:pPr>
        <w:pStyle w:val="34"/>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6.2重金属限量指标: (1) (pd) (以烘干基计)&lt;50mg/kg;(2) (cd)(以烘干基计)&lt;3mg/kg;(3)铬 (cr) (以烘干基计)≤150mg/kg;(4)砷 (As)(以烘干基计≤15mg/ka;(5)汞(Hg) (以烘千基计)2mg/kg。</w:t>
      </w:r>
    </w:p>
    <w:p>
      <w:pPr>
        <w:pStyle w:val="34"/>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default" w:ascii="Times New Roman" w:hAnsi="Times New Roman" w:eastAsia="仿宋_GB2312" w:cs="Times New Roman"/>
          <w:b w:val="0"/>
          <w:bCs w:val="0"/>
          <w:color w:val="00000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6.3外观颜色为褐色或灰褐色，粒状，均匀，无恶臭，无机械杂质。禁止选用粉煤灰，钢渣，污泥，生活垃圾，含有外来入侵物种的物料和法律法规禁止的物料等存在安全隐患的禁用类原料。</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7.因产品的质量问题发生争议，由泸州市江阳区相关部门进行质量鉴定，物品符合质量标准的，鉴定费由甲方承担；物品不符合质量标准的，鉴定费由乙方承担。</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四、付款方式及期限</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每次供货完成并验收合格后30个工作日内一次性支付当期货款。每次付款前应向甲方开具等额、有效的增值税专用发票，否则，甲方有权迟延支付货物款项，且不承担迟延付款的违约责任。</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val="en-US" w:eastAsia="zh-CN"/>
        </w:rPr>
        <w:t>五</w:t>
      </w:r>
      <w:r>
        <w:rPr>
          <w:rFonts w:hint="eastAsia" w:ascii="仿宋_GB2312" w:hAnsi="仿宋_GB2312" w:eastAsia="仿宋_GB2312" w:cs="仿宋_GB2312"/>
          <w:b/>
          <w:bCs/>
          <w:color w:val="auto"/>
          <w:sz w:val="28"/>
          <w:szCs w:val="28"/>
          <w:highlight w:val="none"/>
          <w:lang w:eastAsia="zh-CN"/>
        </w:rPr>
        <w:t>、履约保证金</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bidi="ar-SA"/>
        </w:rPr>
        <w:t>1.</w:t>
      </w:r>
      <w:r>
        <w:rPr>
          <w:rFonts w:hint="eastAsia" w:ascii="仿宋_GB2312" w:hAnsi="仿宋_GB2312" w:eastAsia="仿宋_GB2312" w:cs="仿宋_GB2312"/>
          <w:color w:val="auto"/>
          <w:sz w:val="28"/>
          <w:szCs w:val="28"/>
          <w:highlight w:val="none"/>
          <w:lang w:val="en-US" w:eastAsia="zh-CN"/>
        </w:rPr>
        <w:t>乙方向甲方缴纳   元（大写：   ）作为履约保证金，期间不计算利息。</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2.在合同执行过程中如发生本合同约定的须扣除履约保证金的情况，保证金扣除后乙方必须在下一个自然月内足额补充缴纳本条第一款约定的履约保证金，合同方能继续有效，否则甲方将终止合同。</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3.本合同终止后，乙方提交履约保证金退还申请，甲方将根据乙方是否存在扣除保证金的情形，将履约保证金全额或扣除后的剩余金额无息汇入乙方账户。</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outlineLvl w:val="9"/>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六、相关权利及义务</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1.甲方在验收时对不符合质量要求的产品有权拒绝接收和追究违约责任。 </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2.甲方在合同规定期限内履行付款责任。</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3.甲方对乙方的技术及商业机密予以保密。</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4.甲方有义务并指派专人积极配合乙方进行交货及（如有）安装调试工作。    </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5.乙方有权按照合同约定要求甲方及时支付相应合同款项。</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6.乙方有义务提供良好的售后服务。 </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7.乙方有义务提供符合标准的货物并对提供的货物承担质量保证责任。</w:t>
      </w:r>
    </w:p>
    <w:p>
      <w:pPr>
        <w:pStyle w:val="2"/>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8.乙方需对甲方使用后的药品包装进行回收处理。</w:t>
      </w:r>
    </w:p>
    <w:p>
      <w:pPr>
        <w:pStyle w:val="34"/>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乙方须指派专人负责与甲方联系售后服务事宜。供应商中选后，需要提供参数表中每一种农药2种以上具有同一药性但不同的品牌农药，便于使用过程中植物产生抗药性能替换使用，不同品牌的最终结算单价均按投标单价计算。</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outlineLvl w:val="9"/>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val="en-US" w:eastAsia="zh-CN"/>
        </w:rPr>
        <w:t>七、合同变更、解除和终止</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1、任意一方就合同履行有变更，应与相对方协商一致，签署补充协议。</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2、出现下列情形的，相对方有权解除合同：</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（1）双方协商一致；</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（2）因不可抗力致使合同无法履行；</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（3）因甲方不按约支付货款，经乙方催告15天后仍不支付；</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（4）因乙方不按约提供货物或更换合格货物，经甲方催告15天后仍不履行的；</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（5）一方明示或者以行为默示方式，表明不履行合同约定的。</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（6）其他违反合同约定行为，导致合同目的不能实现，经相对方催告后仍不履行的。</w:t>
      </w:r>
    </w:p>
    <w:p>
      <w:pPr>
        <w:pStyle w:val="34"/>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3、双方履行完本合同约定义务后，本合同终止。</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八</w:t>
      </w:r>
      <w:r>
        <w:rPr>
          <w:rFonts w:hint="eastAsia" w:ascii="仿宋_GB2312" w:hAnsi="仿宋_GB2312" w:eastAsia="仿宋_GB2312" w:cs="仿宋_GB2312"/>
          <w:b/>
          <w:color w:val="auto"/>
          <w:sz w:val="28"/>
          <w:szCs w:val="28"/>
          <w:highlight w:val="none"/>
        </w:rPr>
        <w:t>、违约责任</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1、甲方违约责任</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（1）甲方无正当理由拒收货物的，甲方应偿付合同总价</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rPr>
        <w:t>的违约金；</w:t>
      </w:r>
      <w:r>
        <w:rPr>
          <w:rFonts w:hint="eastAsia" w:ascii="仿宋_GB2312" w:hAnsi="仿宋_GB2312" w:eastAsia="仿宋_GB2312" w:cs="仿宋_GB2312"/>
          <w:color w:val="auto"/>
          <w:sz w:val="28"/>
          <w:szCs w:val="28"/>
          <w:highlight w:val="none"/>
          <w:lang w:eastAsia="zh-CN"/>
        </w:rPr>
        <w:t>累计</w:t>
      </w:r>
      <w:r>
        <w:rPr>
          <w:rFonts w:hint="eastAsia" w:ascii="仿宋_GB2312" w:hAnsi="仿宋_GB2312" w:eastAsia="仿宋_GB2312" w:cs="仿宋_GB2312"/>
          <w:color w:val="auto"/>
          <w:sz w:val="28"/>
          <w:szCs w:val="28"/>
          <w:highlight w:val="none"/>
        </w:rPr>
        <w:t>最高不超过未付合同金额的20%</w:t>
      </w:r>
      <w:r>
        <w:rPr>
          <w:rFonts w:hint="eastAsia" w:ascii="仿宋_GB2312" w:hAnsi="仿宋_GB2312" w:eastAsia="仿宋_GB2312" w:cs="仿宋_GB2312"/>
          <w:color w:val="auto"/>
          <w:sz w:val="28"/>
          <w:szCs w:val="28"/>
          <w:highlight w:val="none"/>
          <w:lang w:eastAsia="zh-CN"/>
        </w:rPr>
        <w:t>；逾期付款超过</w:t>
      </w:r>
      <w:r>
        <w:rPr>
          <w:rFonts w:hint="eastAsia" w:ascii="仿宋_GB2312" w:hAnsi="仿宋_GB2312" w:eastAsia="仿宋_GB2312" w:cs="仿宋_GB2312"/>
          <w:color w:val="auto"/>
          <w:sz w:val="28"/>
          <w:szCs w:val="28"/>
          <w:highlight w:val="none"/>
          <w:lang w:val="en-US" w:eastAsia="zh-CN"/>
        </w:rPr>
        <w:t>15天的，乙方有权解除合同；</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（2）甲方逾期支付货款的，应向乙方偿付欠款总额</w:t>
      </w:r>
      <w:r>
        <w:rPr>
          <w:rFonts w:hint="eastAsia" w:ascii="仿宋_GB2312" w:hAnsi="仿宋_GB2312" w:eastAsia="仿宋_GB2312" w:cs="仿宋_GB2312"/>
          <w:color w:val="auto"/>
          <w:sz w:val="28"/>
          <w:szCs w:val="28"/>
          <w:highlight w:val="none"/>
          <w:u w:val="single"/>
          <w:lang w:val="en-US" w:eastAsia="zh-CN"/>
        </w:rPr>
        <w:t xml:space="preserve"> 千</w:t>
      </w:r>
      <w:r>
        <w:rPr>
          <w:rFonts w:hint="eastAsia" w:ascii="仿宋_GB2312" w:hAnsi="仿宋_GB2312" w:eastAsia="仿宋_GB2312" w:cs="仿宋_GB2312"/>
          <w:color w:val="auto"/>
          <w:sz w:val="28"/>
          <w:szCs w:val="28"/>
          <w:highlight w:val="none"/>
          <w:u w:val="single"/>
        </w:rPr>
        <w:t>分之</w:t>
      </w:r>
      <w:r>
        <w:rPr>
          <w:rFonts w:hint="eastAsia" w:ascii="仿宋_GB2312" w:hAnsi="仿宋_GB2312" w:eastAsia="仿宋_GB2312" w:cs="仿宋_GB2312"/>
          <w:color w:val="auto"/>
          <w:sz w:val="28"/>
          <w:szCs w:val="28"/>
          <w:highlight w:val="none"/>
          <w:u w:val="single"/>
          <w:lang w:val="en-US" w:eastAsia="zh-CN"/>
        </w:rPr>
        <w:t xml:space="preserve">一 </w:t>
      </w:r>
      <w:r>
        <w:rPr>
          <w:rFonts w:hint="eastAsia" w:ascii="仿宋_GB2312" w:hAnsi="仿宋_GB2312" w:eastAsia="仿宋_GB2312" w:cs="仿宋_GB2312"/>
          <w:color w:val="auto"/>
          <w:sz w:val="28"/>
          <w:szCs w:val="28"/>
          <w:highlight w:val="none"/>
        </w:rPr>
        <w:t>/天的违约金，</w:t>
      </w:r>
      <w:r>
        <w:rPr>
          <w:rFonts w:hint="eastAsia" w:ascii="仿宋_GB2312" w:hAnsi="仿宋_GB2312" w:eastAsia="仿宋_GB2312" w:cs="仿宋_GB2312"/>
          <w:color w:val="auto"/>
          <w:sz w:val="28"/>
          <w:szCs w:val="28"/>
          <w:highlight w:val="none"/>
          <w:lang w:eastAsia="zh-CN"/>
        </w:rPr>
        <w:t>累计</w:t>
      </w:r>
      <w:r>
        <w:rPr>
          <w:rFonts w:hint="eastAsia" w:ascii="仿宋_GB2312" w:hAnsi="仿宋_GB2312" w:eastAsia="仿宋_GB2312" w:cs="仿宋_GB2312"/>
          <w:color w:val="auto"/>
          <w:sz w:val="28"/>
          <w:szCs w:val="28"/>
          <w:highlight w:val="none"/>
        </w:rPr>
        <w:t>最高不超过未付合同金额的20%；逾期付款超过</w:t>
      </w:r>
      <w:r>
        <w:rPr>
          <w:rFonts w:hint="eastAsia" w:ascii="仿宋_GB2312" w:hAnsi="仿宋_GB2312" w:eastAsia="仿宋_GB2312" w:cs="仿宋_GB2312"/>
          <w:color w:val="auto"/>
          <w:sz w:val="28"/>
          <w:szCs w:val="28"/>
          <w:highlight w:val="none"/>
          <w:u w:val="single"/>
          <w:lang w:val="en-US" w:eastAsia="zh-CN"/>
        </w:rPr>
        <w:t>20</w:t>
      </w:r>
      <w:r>
        <w:rPr>
          <w:rFonts w:hint="eastAsia" w:ascii="仿宋_GB2312" w:hAnsi="仿宋_GB2312" w:eastAsia="仿宋_GB2312" w:cs="仿宋_GB2312"/>
          <w:color w:val="auto"/>
          <w:sz w:val="28"/>
          <w:szCs w:val="28"/>
          <w:highlight w:val="none"/>
        </w:rPr>
        <w:t>天的，乙方有权</w:t>
      </w:r>
      <w:r>
        <w:rPr>
          <w:rFonts w:hint="eastAsia" w:ascii="仿宋_GB2312" w:hAnsi="仿宋_GB2312" w:eastAsia="仿宋_GB2312" w:cs="仿宋_GB2312"/>
          <w:color w:val="auto"/>
          <w:sz w:val="28"/>
          <w:szCs w:val="28"/>
          <w:highlight w:val="none"/>
          <w:lang w:eastAsia="zh-CN"/>
        </w:rPr>
        <w:t>解除</w:t>
      </w:r>
      <w:r>
        <w:rPr>
          <w:rFonts w:hint="eastAsia" w:ascii="仿宋_GB2312" w:hAnsi="仿宋_GB2312" w:eastAsia="仿宋_GB2312" w:cs="仿宋_GB2312"/>
          <w:color w:val="auto"/>
          <w:sz w:val="28"/>
          <w:szCs w:val="28"/>
          <w:highlight w:val="none"/>
        </w:rPr>
        <w:t>合同；</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（3）甲方偿付的违约金不足以弥补乙方</w:t>
      </w:r>
      <w:r>
        <w:rPr>
          <w:rFonts w:hint="eastAsia" w:ascii="仿宋_GB2312" w:hAnsi="仿宋_GB2312" w:eastAsia="仿宋_GB2312" w:cs="仿宋_GB2312"/>
          <w:color w:val="auto"/>
          <w:sz w:val="28"/>
          <w:szCs w:val="28"/>
          <w:highlight w:val="none"/>
          <w:lang w:eastAsia="zh-CN"/>
        </w:rPr>
        <w:t>直接经济</w:t>
      </w:r>
      <w:r>
        <w:rPr>
          <w:rFonts w:hint="eastAsia" w:ascii="仿宋_GB2312" w:hAnsi="仿宋_GB2312" w:eastAsia="仿宋_GB2312" w:cs="仿宋_GB2312"/>
          <w:color w:val="auto"/>
          <w:sz w:val="28"/>
          <w:szCs w:val="28"/>
          <w:highlight w:val="none"/>
        </w:rPr>
        <w:t>损失的，还应按乙方</w:t>
      </w:r>
      <w:r>
        <w:rPr>
          <w:rFonts w:hint="eastAsia" w:ascii="仿宋_GB2312" w:hAnsi="仿宋_GB2312" w:eastAsia="仿宋_GB2312" w:cs="仿宋_GB2312"/>
          <w:color w:val="auto"/>
          <w:sz w:val="28"/>
          <w:szCs w:val="28"/>
          <w:highlight w:val="none"/>
          <w:lang w:eastAsia="zh-CN"/>
        </w:rPr>
        <w:t>直接经济</w:t>
      </w:r>
      <w:r>
        <w:rPr>
          <w:rFonts w:hint="eastAsia" w:ascii="仿宋_GB2312" w:hAnsi="仿宋_GB2312" w:eastAsia="仿宋_GB2312" w:cs="仿宋_GB2312"/>
          <w:color w:val="auto"/>
          <w:sz w:val="28"/>
          <w:szCs w:val="28"/>
          <w:highlight w:val="none"/>
        </w:rPr>
        <w:t>损失尚未弥补的部分，支付赔偿金给乙方。</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2、乙方违约责任</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（1）乙方交付的货物质量不符合合同规定的，乙方应向甲方支付合同总价</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rPr>
        <w:t>的违约金，并须在合同规定的交货时间内更换合格的货物给甲方，否则，甲方有权</w:t>
      </w:r>
      <w:r>
        <w:rPr>
          <w:rFonts w:hint="eastAsia" w:ascii="仿宋_GB2312" w:hAnsi="仿宋_GB2312" w:eastAsia="仿宋_GB2312" w:cs="仿宋_GB2312"/>
          <w:color w:val="auto"/>
          <w:sz w:val="28"/>
          <w:szCs w:val="28"/>
          <w:highlight w:val="none"/>
          <w:lang w:eastAsia="zh-CN"/>
        </w:rPr>
        <w:t>解除</w:t>
      </w:r>
      <w:r>
        <w:rPr>
          <w:rFonts w:hint="eastAsia" w:ascii="仿宋_GB2312" w:hAnsi="仿宋_GB2312" w:eastAsia="仿宋_GB2312" w:cs="仿宋_GB2312"/>
          <w:color w:val="auto"/>
          <w:sz w:val="28"/>
          <w:szCs w:val="28"/>
          <w:highlight w:val="none"/>
        </w:rPr>
        <w:t>合同。</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（2）乙方逾期交付货物而违约的</w:t>
      </w:r>
      <w:r>
        <w:rPr>
          <w:rFonts w:hint="eastAsia" w:ascii="仿宋_GB2312" w:hAnsi="仿宋_GB2312" w:eastAsia="仿宋_GB2312" w:cs="仿宋_GB2312"/>
          <w:color w:val="auto"/>
          <w:sz w:val="28"/>
          <w:szCs w:val="28"/>
          <w:highlight w:val="none"/>
          <w:lang w:eastAsia="zh-CN"/>
        </w:rPr>
        <w:t>，乙方应按</w:t>
      </w:r>
      <w:r>
        <w:rPr>
          <w:rFonts w:hint="eastAsia" w:ascii="仿宋_GB2312" w:hAnsi="仿宋_GB2312" w:eastAsia="仿宋_GB2312" w:cs="仿宋_GB2312"/>
          <w:color w:val="auto"/>
          <w:sz w:val="28"/>
          <w:szCs w:val="28"/>
          <w:highlight w:val="none"/>
        </w:rPr>
        <w:t>逾期交货总额</w:t>
      </w:r>
      <w:r>
        <w:rPr>
          <w:rFonts w:hint="eastAsia" w:ascii="仿宋_GB2312" w:hAnsi="仿宋_GB2312" w:eastAsia="仿宋_GB2312" w:cs="仿宋_GB2312"/>
          <w:color w:val="auto"/>
          <w:sz w:val="28"/>
          <w:szCs w:val="28"/>
          <w:highlight w:val="none"/>
          <w:lang w:eastAsia="zh-CN"/>
        </w:rPr>
        <w:t>每日</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lang w:eastAsia="zh-CN"/>
        </w:rPr>
        <w:t>向甲方支付</w:t>
      </w:r>
      <w:r>
        <w:rPr>
          <w:rFonts w:hint="eastAsia" w:ascii="仿宋_GB2312" w:hAnsi="仿宋_GB2312" w:eastAsia="仿宋_GB2312" w:cs="仿宋_GB2312"/>
          <w:color w:val="auto"/>
          <w:sz w:val="28"/>
          <w:szCs w:val="28"/>
          <w:highlight w:val="none"/>
        </w:rPr>
        <w:t>违约金</w:t>
      </w:r>
      <w:r>
        <w:rPr>
          <w:rFonts w:hint="eastAsia" w:ascii="仿宋_GB2312" w:hAnsi="仿宋_GB2312" w:eastAsia="仿宋_GB2312" w:cs="仿宋_GB2312"/>
          <w:color w:val="auto"/>
          <w:sz w:val="28"/>
          <w:szCs w:val="28"/>
          <w:highlight w:val="none"/>
          <w:lang w:eastAsia="zh-CN"/>
        </w:rPr>
        <w:t>，累计</w:t>
      </w:r>
      <w:r>
        <w:rPr>
          <w:rFonts w:hint="eastAsia" w:ascii="仿宋_GB2312" w:hAnsi="仿宋_GB2312" w:eastAsia="仿宋_GB2312" w:cs="仿宋_GB2312"/>
          <w:color w:val="auto"/>
          <w:sz w:val="28"/>
          <w:szCs w:val="28"/>
          <w:highlight w:val="none"/>
        </w:rPr>
        <w:t>最高不超过合同</w:t>
      </w:r>
      <w:r>
        <w:rPr>
          <w:rFonts w:hint="eastAsia" w:ascii="仿宋_GB2312" w:hAnsi="仿宋_GB2312" w:eastAsia="仿宋_GB2312" w:cs="仿宋_GB2312"/>
          <w:color w:val="auto"/>
          <w:sz w:val="28"/>
          <w:szCs w:val="28"/>
          <w:highlight w:val="none"/>
          <w:lang w:eastAsia="zh-CN"/>
        </w:rPr>
        <w:t>总价</w:t>
      </w:r>
      <w:r>
        <w:rPr>
          <w:rFonts w:hint="eastAsia" w:ascii="仿宋_GB2312" w:hAnsi="仿宋_GB2312" w:eastAsia="仿宋_GB2312" w:cs="仿宋_GB2312"/>
          <w:color w:val="auto"/>
          <w:sz w:val="28"/>
          <w:szCs w:val="28"/>
          <w:highlight w:val="none"/>
        </w:rPr>
        <w:t>的20%；逾期交货超过7天，甲方有权</w:t>
      </w:r>
      <w:r>
        <w:rPr>
          <w:rFonts w:hint="eastAsia" w:ascii="仿宋_GB2312" w:hAnsi="仿宋_GB2312" w:eastAsia="仿宋_GB2312" w:cs="仿宋_GB2312"/>
          <w:color w:val="auto"/>
          <w:sz w:val="28"/>
          <w:szCs w:val="28"/>
          <w:highlight w:val="none"/>
          <w:lang w:eastAsia="zh-CN"/>
        </w:rPr>
        <w:t>解除</w:t>
      </w:r>
      <w:r>
        <w:rPr>
          <w:rFonts w:hint="eastAsia" w:ascii="仿宋_GB2312" w:hAnsi="仿宋_GB2312" w:eastAsia="仿宋_GB2312" w:cs="仿宋_GB2312"/>
          <w:color w:val="auto"/>
          <w:sz w:val="28"/>
          <w:szCs w:val="28"/>
          <w:highlight w:val="none"/>
        </w:rPr>
        <w:t>合同，乙方则应按合同总价</w:t>
      </w:r>
      <w:r>
        <w:rPr>
          <w:rFonts w:hint="eastAsia" w:ascii="仿宋_GB2312" w:hAnsi="仿宋_GB2312" w:eastAsia="仿宋_GB2312" w:cs="仿宋_GB2312"/>
          <w:color w:val="auto"/>
          <w:sz w:val="28"/>
          <w:szCs w:val="28"/>
          <w:highlight w:val="none"/>
          <w:lang w:eastAsia="zh-CN"/>
        </w:rPr>
        <w:t>款</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u w:val="single"/>
          <w:lang w:val="en-US" w:eastAsia="zh-CN"/>
        </w:rPr>
        <w:t>20％</w:t>
      </w:r>
      <w:r>
        <w:rPr>
          <w:rFonts w:hint="eastAsia" w:ascii="仿宋_GB2312" w:hAnsi="仿宋_GB2312" w:eastAsia="仿宋_GB2312" w:cs="仿宋_GB2312"/>
          <w:color w:val="auto"/>
          <w:sz w:val="28"/>
          <w:szCs w:val="28"/>
          <w:highlight w:val="none"/>
        </w:rPr>
        <w:t>向甲方偿付</w:t>
      </w:r>
      <w:r>
        <w:rPr>
          <w:rFonts w:hint="eastAsia" w:ascii="仿宋_GB2312" w:hAnsi="仿宋_GB2312" w:eastAsia="仿宋_GB2312" w:cs="仿宋_GB2312"/>
          <w:color w:val="auto"/>
          <w:sz w:val="28"/>
          <w:szCs w:val="28"/>
          <w:highlight w:val="none"/>
          <w:lang w:eastAsia="zh-CN"/>
        </w:rPr>
        <w:t>违约</w:t>
      </w:r>
      <w:r>
        <w:rPr>
          <w:rFonts w:hint="eastAsia" w:ascii="仿宋_GB2312" w:hAnsi="仿宋_GB2312" w:eastAsia="仿宋_GB2312" w:cs="仿宋_GB2312"/>
          <w:color w:val="auto"/>
          <w:sz w:val="28"/>
          <w:szCs w:val="28"/>
          <w:highlight w:val="none"/>
        </w:rPr>
        <w:t>金</w:t>
      </w:r>
      <w:r>
        <w:rPr>
          <w:rFonts w:hint="eastAsia" w:ascii="仿宋_GB2312" w:hAnsi="仿宋_GB2312" w:eastAsia="仿宋_GB2312" w:cs="仿宋_GB2312"/>
          <w:color w:val="auto"/>
          <w:sz w:val="28"/>
          <w:szCs w:val="28"/>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（3）乙方逾期不能交付货物的，乙方则应向甲方按合同总价款的</w:t>
      </w:r>
      <w:r>
        <w:rPr>
          <w:rFonts w:hint="eastAsia" w:ascii="仿宋_GB2312" w:hAnsi="仿宋_GB2312" w:eastAsia="仿宋_GB2312" w:cs="仿宋_GB2312"/>
          <w:color w:val="auto"/>
          <w:sz w:val="28"/>
          <w:szCs w:val="28"/>
          <w:highlight w:val="none"/>
          <w:u w:val="single"/>
          <w:lang w:val="en-US" w:eastAsia="zh-CN"/>
        </w:rPr>
        <w:t xml:space="preserve"> 20％</w:t>
      </w:r>
      <w:r>
        <w:rPr>
          <w:rFonts w:hint="eastAsia" w:ascii="仿宋_GB2312" w:hAnsi="仿宋_GB2312" w:eastAsia="仿宋_GB2312" w:cs="仿宋_GB2312"/>
          <w:color w:val="auto"/>
          <w:sz w:val="28"/>
          <w:szCs w:val="28"/>
          <w:highlight w:val="none"/>
        </w:rPr>
        <w:t>支付违约金，甲方有权</w:t>
      </w:r>
      <w:r>
        <w:rPr>
          <w:rFonts w:hint="eastAsia" w:ascii="仿宋_GB2312" w:hAnsi="仿宋_GB2312" w:eastAsia="仿宋_GB2312" w:cs="仿宋_GB2312"/>
          <w:color w:val="auto"/>
          <w:sz w:val="28"/>
          <w:szCs w:val="28"/>
          <w:highlight w:val="none"/>
          <w:lang w:eastAsia="zh-CN"/>
        </w:rPr>
        <w:t>解除</w:t>
      </w:r>
      <w:r>
        <w:rPr>
          <w:rFonts w:hint="eastAsia" w:ascii="仿宋_GB2312" w:hAnsi="仿宋_GB2312" w:eastAsia="仿宋_GB2312" w:cs="仿宋_GB2312"/>
          <w:color w:val="auto"/>
          <w:sz w:val="28"/>
          <w:szCs w:val="28"/>
          <w:highlight w:val="none"/>
        </w:rPr>
        <w:t>合同。</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rPr>
        <w:t>向甲方支付违约金并赔偿因此给甲方造成的一切损失。</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）乙方偿付的违约金不足以弥补甲方损失的，还应按甲方损失尚未弥补的部分，支付赔偿金给甲方。</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如有履约保证金的，乙方同意以上违约金甲方从履约保证金中扣除。若无乙方同意从代付款中先行扣除。</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九</w:t>
      </w:r>
      <w:r>
        <w:rPr>
          <w:rFonts w:hint="eastAsia" w:ascii="仿宋_GB2312" w:hAnsi="仿宋_GB2312" w:eastAsia="仿宋_GB2312" w:cs="仿宋_GB2312"/>
          <w:b/>
          <w:color w:val="auto"/>
          <w:sz w:val="28"/>
          <w:szCs w:val="28"/>
          <w:highlight w:val="none"/>
          <w:lang w:eastAsia="zh-CN"/>
        </w:rPr>
        <w:t>、</w:t>
      </w:r>
      <w:r>
        <w:rPr>
          <w:rFonts w:hint="eastAsia" w:ascii="仿宋_GB2312" w:hAnsi="仿宋_GB2312" w:eastAsia="仿宋_GB2312" w:cs="仿宋_GB2312"/>
          <w:b/>
          <w:color w:val="auto"/>
          <w:sz w:val="28"/>
          <w:szCs w:val="28"/>
          <w:highlight w:val="none"/>
        </w:rPr>
        <w:t>不可抗力</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由于不可抗力的原因不能履行合同时，</w:t>
      </w:r>
      <w:r>
        <w:rPr>
          <w:rFonts w:hint="eastAsia" w:ascii="仿宋_GB2312" w:hAnsi="仿宋_GB2312" w:eastAsia="仿宋_GB2312" w:cs="仿宋_GB2312"/>
          <w:color w:val="auto"/>
          <w:sz w:val="28"/>
          <w:szCs w:val="28"/>
          <w:highlight w:val="none"/>
          <w:lang w:eastAsia="zh-CN"/>
        </w:rPr>
        <w:t>双方互不负违约责任。因不可抗力不能履行一方</w:t>
      </w:r>
      <w:r>
        <w:rPr>
          <w:rFonts w:hint="eastAsia" w:ascii="仿宋_GB2312" w:hAnsi="仿宋_GB2312" w:eastAsia="仿宋_GB2312" w:cs="仿宋_GB2312"/>
          <w:color w:val="auto"/>
          <w:sz w:val="28"/>
          <w:szCs w:val="28"/>
          <w:highlight w:val="none"/>
        </w:rPr>
        <w:t>应及时向</w:t>
      </w:r>
      <w:r>
        <w:rPr>
          <w:rFonts w:hint="eastAsia" w:ascii="仿宋_GB2312" w:hAnsi="仿宋_GB2312" w:eastAsia="仿宋_GB2312" w:cs="仿宋_GB2312"/>
          <w:color w:val="auto"/>
          <w:sz w:val="28"/>
          <w:szCs w:val="28"/>
          <w:highlight w:val="none"/>
          <w:lang w:eastAsia="zh-CN"/>
        </w:rPr>
        <w:t>另一方</w:t>
      </w:r>
      <w:r>
        <w:rPr>
          <w:rFonts w:hint="eastAsia" w:ascii="仿宋_GB2312" w:hAnsi="仿宋_GB2312" w:eastAsia="仿宋_GB2312" w:cs="仿宋_GB2312"/>
          <w:color w:val="auto"/>
          <w:sz w:val="28"/>
          <w:szCs w:val="28"/>
          <w:highlight w:val="none"/>
        </w:rPr>
        <w:t>通报不能履行或不能完全履行的理由</w:t>
      </w:r>
      <w:r>
        <w:rPr>
          <w:rFonts w:hint="eastAsia" w:ascii="仿宋_GB2312" w:hAnsi="仿宋_GB2312" w:eastAsia="仿宋_GB2312" w:cs="仿宋_GB2312"/>
          <w:color w:val="auto"/>
          <w:sz w:val="28"/>
          <w:szCs w:val="28"/>
          <w:highlight w:val="none"/>
          <w:lang w:eastAsia="zh-CN"/>
        </w:rPr>
        <w:t>，并向另一方提交经当地公证处公证的不可抗力事件文书。</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乙方由于不可抗力的原因不能履行合同时，应在交货时间到期以前及时向甲方通报不能履行或不能完全履行的理由</w:t>
      </w:r>
      <w:r>
        <w:rPr>
          <w:rFonts w:hint="eastAsia" w:ascii="仿宋_GB2312" w:hAnsi="仿宋_GB2312" w:eastAsia="仿宋_GB2312" w:cs="仿宋_GB2312"/>
          <w:color w:val="auto"/>
          <w:sz w:val="28"/>
          <w:szCs w:val="28"/>
          <w:highlight w:val="none"/>
          <w:lang w:eastAsia="zh-CN"/>
        </w:rPr>
        <w:t>，提供公证文书，</w:t>
      </w:r>
      <w:r>
        <w:rPr>
          <w:rFonts w:hint="eastAsia" w:ascii="仿宋_GB2312" w:hAnsi="仿宋_GB2312" w:eastAsia="仿宋_GB2312" w:cs="仿宋_GB2312"/>
          <w:color w:val="auto"/>
          <w:sz w:val="28"/>
          <w:szCs w:val="28"/>
          <w:highlight w:val="none"/>
        </w:rPr>
        <w:t>双方可以签订延期履行、部分履行补充合同或者不履行合同。</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lang w:eastAsia="zh-CN"/>
        </w:rPr>
        <w:t>十</w:t>
      </w:r>
      <w:r>
        <w:rPr>
          <w:rFonts w:hint="eastAsia" w:ascii="仿宋_GB2312" w:hAnsi="仿宋_GB2312" w:eastAsia="仿宋_GB2312" w:cs="仿宋_GB2312"/>
          <w:b/>
          <w:color w:val="auto"/>
          <w:sz w:val="28"/>
          <w:szCs w:val="28"/>
          <w:highlight w:val="none"/>
        </w:rPr>
        <w:t>、争议</w:t>
      </w:r>
      <w:r>
        <w:rPr>
          <w:rFonts w:hint="eastAsia" w:ascii="仿宋_GB2312" w:hAnsi="仿宋_GB2312" w:eastAsia="仿宋_GB2312" w:cs="仿宋_GB2312"/>
          <w:b/>
          <w:color w:val="auto"/>
          <w:sz w:val="28"/>
          <w:szCs w:val="28"/>
          <w:highlight w:val="none"/>
          <w:lang w:eastAsia="zh-CN"/>
        </w:rPr>
        <w:t>解决</w:t>
      </w:r>
    </w:p>
    <w:p>
      <w:pPr>
        <w:pStyle w:val="34"/>
        <w:keepNext w:val="0"/>
        <w:keepLines w:val="0"/>
        <w:pageBreakBefore w:val="0"/>
        <w:widowControl w:val="0"/>
        <w:kinsoku/>
        <w:wordWrap/>
        <w:overflowPunct/>
        <w:topLinePunct w:val="0"/>
        <w:autoSpaceDE/>
        <w:autoSpaceDN/>
        <w:bidi w:val="0"/>
        <w:adjustRightInd/>
        <w:snapToGrid/>
        <w:spacing w:line="360" w:lineRule="exact"/>
        <w:ind w:firstLine="48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因货物的质量问题发生争议，由具有法定资格条件的质量技术监督机构进行质量鉴定。货物符合标准的，鉴定费由甲方承担；货物不符合质量标准的，鉴定费由乙方承担。</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合同履行期间,若双方发生争议，双方本着友好合作的态度，对合同履行过程中发生的违约行为进行及时的协商解决，如不能协商解决</w:t>
      </w:r>
      <w:r>
        <w:rPr>
          <w:rFonts w:hint="eastAsia" w:ascii="仿宋_GB2312" w:hAnsi="仿宋_GB2312" w:eastAsia="仿宋_GB2312" w:cs="仿宋_GB2312"/>
          <w:color w:val="auto"/>
          <w:sz w:val="28"/>
          <w:szCs w:val="28"/>
          <w:highlight w:val="none"/>
          <w:lang w:eastAsia="zh-CN"/>
        </w:rPr>
        <w:t>可采取</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方式解决。</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）向</w:t>
      </w:r>
      <w:r>
        <w:rPr>
          <w:rFonts w:hint="eastAsia" w:ascii="仿宋_GB2312" w:hAnsi="仿宋_GB2312" w:eastAsia="仿宋_GB2312" w:cs="仿宋_GB2312"/>
          <w:color w:val="auto"/>
          <w:sz w:val="28"/>
          <w:szCs w:val="28"/>
          <w:highlight w:val="none"/>
        </w:rPr>
        <w:t>甲方所在地法院通过诉讼解决。</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（2）向泸州仲裁委提请仲裁解决。</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b w:val="0"/>
          <w:i w:val="0"/>
          <w:caps w:val="0"/>
          <w:color w:val="auto"/>
          <w:spacing w:val="0"/>
          <w:sz w:val="28"/>
          <w:szCs w:val="28"/>
          <w:highlight w:val="none"/>
          <w:lang w:eastAsia="zh-CN"/>
        </w:rPr>
        <w:t>因一方违约，相对方通过司法途径实现债权而产生的诉讼有关费用，包括但不限于律师费、诉讼费、公告费等费用均由违约方承担。</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color w:val="auto"/>
          <w:sz w:val="28"/>
          <w:szCs w:val="28"/>
          <w:highlight w:val="none"/>
          <w:lang w:val="en-US" w:eastAsia="zh-CN"/>
        </w:rPr>
        <w:t>一</w:t>
      </w:r>
      <w:r>
        <w:rPr>
          <w:rFonts w:hint="eastAsia" w:ascii="仿宋_GB2312" w:hAnsi="仿宋_GB2312" w:eastAsia="仿宋_GB2312" w:cs="仿宋_GB2312"/>
          <w:b/>
          <w:color w:val="auto"/>
          <w:sz w:val="28"/>
          <w:szCs w:val="28"/>
          <w:highlight w:val="none"/>
        </w:rPr>
        <w:t>、合同标的减少与追加处理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b w:val="0"/>
          <w:i w:val="0"/>
          <w:caps w:val="0"/>
          <w:color w:val="auto"/>
          <w:spacing w:val="0"/>
          <w:kern w:val="0"/>
          <w:sz w:val="28"/>
          <w:szCs w:val="28"/>
          <w:highlight w:val="none"/>
          <w:lang w:val="en-US" w:eastAsia="zh-CN" w:bidi="ar-SA"/>
        </w:rPr>
      </w:pPr>
      <w:r>
        <w:rPr>
          <w:rFonts w:hint="eastAsia" w:ascii="仿宋_GB2312" w:hAnsi="仿宋_GB2312" w:eastAsia="仿宋_GB2312" w:cs="仿宋_GB2312"/>
          <w:b w:val="0"/>
          <w:i w:val="0"/>
          <w:caps w:val="0"/>
          <w:color w:val="auto"/>
          <w:spacing w:val="0"/>
          <w:kern w:val="0"/>
          <w:sz w:val="28"/>
          <w:szCs w:val="28"/>
          <w:highlight w:val="none"/>
          <w:lang w:val="en-US" w:eastAsia="zh-CN" w:bidi="ar-SA"/>
        </w:rPr>
        <w:t>1.如因在合同履行过程中有变更，存在减少有关产品数量情况，经甲乙双方书面确认同意后，按乙方中标时的固定单价对总价进行调减。</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b w:val="0"/>
          <w:i w:val="0"/>
          <w:caps w:val="0"/>
          <w:color w:val="auto"/>
          <w:spacing w:val="0"/>
          <w:kern w:val="0"/>
          <w:sz w:val="28"/>
          <w:szCs w:val="28"/>
          <w:highlight w:val="none"/>
          <w:lang w:val="en-US" w:eastAsia="zh-CN" w:bidi="ar-SA"/>
        </w:rPr>
      </w:pPr>
      <w:r>
        <w:rPr>
          <w:rFonts w:hint="eastAsia" w:ascii="仿宋_GB2312" w:hAnsi="仿宋_GB2312" w:eastAsia="仿宋_GB2312" w:cs="仿宋_GB2312"/>
          <w:b w:val="0"/>
          <w:i w:val="0"/>
          <w:caps w:val="0"/>
          <w:color w:val="auto"/>
          <w:spacing w:val="0"/>
          <w:kern w:val="0"/>
          <w:sz w:val="28"/>
          <w:szCs w:val="28"/>
          <w:highlight w:val="none"/>
          <w:lang w:val="en-US" w:eastAsia="zh-CN" w:bidi="ar-SA"/>
        </w:rPr>
        <w:t>2.如因在合同履行过程中，需追加与本合同标的相同的货物或者服务的，在不改变合同条款的前提下，经甲乙双方书面确认，按乙方中标时的固定单价对总价进行调增，并签订补充合同。</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color w:val="auto"/>
          <w:sz w:val="28"/>
          <w:szCs w:val="28"/>
          <w:highlight w:val="none"/>
          <w:lang w:val="en-US" w:eastAsia="zh-CN"/>
        </w:rPr>
        <w:t>二</w:t>
      </w:r>
      <w:r>
        <w:rPr>
          <w:rFonts w:hint="eastAsia" w:ascii="仿宋_GB2312" w:hAnsi="仿宋_GB2312" w:eastAsia="仿宋_GB2312" w:cs="仿宋_GB2312"/>
          <w:b/>
          <w:color w:val="auto"/>
          <w:sz w:val="28"/>
          <w:szCs w:val="28"/>
          <w:highlight w:val="none"/>
        </w:rPr>
        <w:t>、通知和送达</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任何一方向对方发出的通知或其他往来文件（以下简称“往来文件”），应按照本</w:t>
      </w:r>
      <w:r>
        <w:rPr>
          <w:rFonts w:hint="eastAsia" w:ascii="仿宋_GB2312" w:hAnsi="仿宋_GB2312" w:eastAsia="仿宋_GB2312" w:cs="仿宋_GB2312"/>
          <w:color w:val="auto"/>
          <w:sz w:val="28"/>
          <w:szCs w:val="28"/>
          <w:highlight w:val="none"/>
          <w:lang w:val="en-US" w:eastAsia="zh-CN"/>
        </w:rPr>
        <w:t>合同尾部</w:t>
      </w:r>
      <w:r>
        <w:rPr>
          <w:rFonts w:hint="eastAsia" w:ascii="仿宋_GB2312" w:hAnsi="仿宋_GB2312" w:eastAsia="仿宋_GB2312" w:cs="仿宋_GB2312"/>
          <w:color w:val="auto"/>
          <w:sz w:val="28"/>
          <w:szCs w:val="28"/>
          <w:highlight w:val="none"/>
        </w:rPr>
        <w:t>记载的另一方的联系方式，用特快、挂号信、传真、电子邮件或专人送达方式发出，并在下述条件下送达生效：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（1）以特快专递或挂号信方式发出的，以收件人签收日为送达日；收件人未签收的，以寄出日后的第五个工作日视为送达；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（2）以传真或电子邮件方式发出的，以发出方收到传真或电子邮件发出确认回执时视为送达；</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合同尾部</w:t>
      </w:r>
      <w:r>
        <w:rPr>
          <w:rFonts w:hint="eastAsia" w:ascii="仿宋_GB2312" w:hAnsi="仿宋_GB2312" w:eastAsia="仿宋_GB2312" w:cs="仿宋_GB2312"/>
          <w:color w:val="auto"/>
          <w:sz w:val="28"/>
          <w:szCs w:val="28"/>
          <w:highlight w:val="none"/>
        </w:rPr>
        <w:t>的联系方式发生变更，变更方应及时书面通知另一方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另一方在收到有关变更前的联系方式所发出的往来文件视为有效。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3.本合同尾部所载地址也是司法机关司法文书送达地址。</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廉洁条款</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638" w:firstLineChars="228"/>
        <w:textAlignment w:val="auto"/>
        <w:rPr>
          <w:rFonts w:hint="default"/>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及其工作人员如有违反本条款的，按合同暂定总金额的10%向甲方支付违约金，甲方有权解除与乙方的所有业务合同，由此所造成的一切经济损失均由乙方承担，同时甲方有权将乙方列入兴阳集团不诚信供应商库，并永久排除在甲方业务范围之外</w:t>
      </w:r>
      <w:r>
        <w:rPr>
          <w:rFonts w:hint="eastAsia" w:ascii="仿宋_GB2312" w:hAnsi="仿宋_GB2312" w:eastAsia="仿宋_GB2312" w:cs="仿宋_GB2312"/>
          <w:color w:val="auto"/>
          <w:sz w:val="28"/>
          <w:szCs w:val="28"/>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十</w:t>
      </w:r>
      <w:r>
        <w:rPr>
          <w:rFonts w:hint="eastAsia" w:ascii="仿宋_GB2312" w:hAnsi="仿宋_GB2312" w:eastAsia="仿宋_GB2312" w:cs="仿宋_GB2312"/>
          <w:b/>
          <w:color w:val="auto"/>
          <w:sz w:val="28"/>
          <w:szCs w:val="28"/>
          <w:highlight w:val="none"/>
          <w:lang w:val="en-US" w:eastAsia="zh-CN"/>
        </w:rPr>
        <w:t>四</w:t>
      </w:r>
      <w:r>
        <w:rPr>
          <w:rFonts w:hint="eastAsia" w:ascii="仿宋_GB2312" w:hAnsi="仿宋_GB2312" w:eastAsia="仿宋_GB2312" w:cs="仿宋_GB2312"/>
          <w:b/>
          <w:color w:val="auto"/>
          <w:sz w:val="28"/>
          <w:szCs w:val="28"/>
          <w:highlight w:val="none"/>
          <w:lang w:eastAsia="zh-CN"/>
        </w:rPr>
        <w:t>、</w:t>
      </w:r>
      <w:r>
        <w:rPr>
          <w:rFonts w:hint="eastAsia" w:ascii="仿宋_GB2312" w:hAnsi="仿宋_GB2312" w:eastAsia="仿宋_GB2312" w:cs="仿宋_GB2312"/>
          <w:b/>
          <w:color w:val="auto"/>
          <w:sz w:val="28"/>
          <w:szCs w:val="28"/>
          <w:highlight w:val="none"/>
        </w:rPr>
        <w:t>其它事项</w:t>
      </w:r>
    </w:p>
    <w:p>
      <w:pPr>
        <w:pStyle w:val="2"/>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乙方承诺三年内无犯罪记录、重大经济纠纷、经济犯罪和重大合同违约等情形。</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本合同一式</w:t>
      </w:r>
      <w:r>
        <w:rPr>
          <w:rFonts w:hint="eastAsia" w:ascii="仿宋_GB2312" w:hAnsi="仿宋_GB2312" w:eastAsia="仿宋_GB2312" w:cs="仿宋_GB2312"/>
          <w:color w:val="auto"/>
          <w:sz w:val="28"/>
          <w:szCs w:val="28"/>
          <w:highlight w:val="none"/>
          <w:u w:val="single"/>
          <w:lang w:val="en-US" w:eastAsia="zh-CN"/>
        </w:rPr>
        <w:t xml:space="preserve"> 肆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本合同自法定代表（授权</w:t>
      </w:r>
      <w:r>
        <w:rPr>
          <w:rFonts w:hint="eastAsia" w:ascii="仿宋_GB2312" w:hAnsi="仿宋_GB2312" w:eastAsia="仿宋_GB2312" w:cs="仿宋_GB2312"/>
          <w:color w:val="auto"/>
          <w:sz w:val="28"/>
          <w:szCs w:val="28"/>
          <w:highlight w:val="none"/>
          <w:lang w:val="en-US" w:eastAsia="zh-CN"/>
        </w:rPr>
        <w:t>代理</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人</w:t>
      </w:r>
      <w:r>
        <w:rPr>
          <w:rFonts w:hint="eastAsia" w:ascii="仿宋_GB2312" w:hAnsi="仿宋_GB2312" w:eastAsia="仿宋_GB2312" w:cs="仿宋_GB2312"/>
          <w:color w:val="auto"/>
          <w:sz w:val="28"/>
          <w:szCs w:val="28"/>
          <w:highlight w:val="none"/>
        </w:rPr>
        <w:t>签章</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rPr>
        <w:t>并加盖公司印章之日起生效。</w:t>
      </w:r>
    </w:p>
    <w:p>
      <w:pPr>
        <w:pStyle w:val="11"/>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其它未尽事宜，由双方友好协商解决，并签订补充协议。</w:t>
      </w:r>
    </w:p>
    <w:p>
      <w:pPr>
        <w:pStyle w:val="11"/>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24"/>
          <w:szCs w:val="24"/>
          <w:lang w:eastAsia="zh-CN"/>
        </w:rPr>
      </w:pPr>
      <w:r>
        <w:rPr>
          <w:rFonts w:hint="eastAsia" w:ascii="仿宋_GB2312" w:hAnsi="仿宋_GB2312" w:eastAsia="仿宋_GB2312" w:cs="仿宋_GB2312"/>
          <w:color w:val="auto"/>
          <w:kern w:val="2"/>
          <w:sz w:val="28"/>
          <w:szCs w:val="28"/>
          <w:lang w:val="en-US" w:eastAsia="zh-CN" w:bidi="ar-SA"/>
        </w:rPr>
        <w:t xml:space="preserve">    附件：采购明细表</w:t>
      </w:r>
    </w:p>
    <w:p>
      <w:pPr>
        <w:pStyle w:val="11"/>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4"/>
          <w:szCs w:val="24"/>
          <w:lang w:eastAsia="zh-CN"/>
        </w:rPr>
      </w:pPr>
    </w:p>
    <w:tbl>
      <w:tblPr>
        <w:tblStyle w:val="19"/>
        <w:tblW w:w="91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99"/>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4599" w:type="dxa"/>
            <w:tcBorders>
              <w:tl2br w:val="nil"/>
              <w:tr2bl w:val="nil"/>
            </w:tcBorders>
            <w:noWrap w:val="0"/>
            <w:vAlign w:val="top"/>
          </w:tcPr>
          <w:p>
            <w:pPr>
              <w:pageBreakBefore w:val="0"/>
              <w:kinsoku/>
              <w:wordWrap/>
              <w:overflowPunct/>
              <w:topLinePunct w:val="0"/>
              <w:bidi w:val="0"/>
              <w:spacing w:line="400" w:lineRule="exact"/>
              <w:jc w:val="left"/>
              <w:rPr>
                <w:rFonts w:hint="default"/>
                <w:kern w:val="2"/>
                <w:sz w:val="28"/>
                <w:szCs w:val="28"/>
                <w:vertAlign w:val="baseline"/>
                <w:lang w:val="en-US" w:eastAsia="zh-CN" w:bidi="ar-SA"/>
              </w:rPr>
            </w:pPr>
            <w:r>
              <w:rPr>
                <w:rFonts w:hint="eastAsia" w:ascii="楷体" w:hAnsi="楷体" w:eastAsia="楷体" w:cs="楷体"/>
                <w:b w:val="0"/>
                <w:bCs w:val="0"/>
                <w:color w:val="auto"/>
                <w:kern w:val="2"/>
                <w:sz w:val="28"/>
                <w:szCs w:val="28"/>
                <w:lang w:val="en-US" w:eastAsia="zh-CN" w:bidi="ar-SA"/>
              </w:rPr>
              <w:t>甲方：（盖章）</w:t>
            </w:r>
          </w:p>
        </w:tc>
        <w:tc>
          <w:tcPr>
            <w:tcW w:w="4600" w:type="dxa"/>
            <w:tcBorders>
              <w:tl2br w:val="nil"/>
              <w:tr2bl w:val="nil"/>
            </w:tcBorders>
            <w:noWrap w:val="0"/>
            <w:vAlign w:val="top"/>
          </w:tcPr>
          <w:p>
            <w:pPr>
              <w:pageBreakBefore w:val="0"/>
              <w:kinsoku/>
              <w:wordWrap/>
              <w:overflowPunct/>
              <w:topLinePunct w:val="0"/>
              <w:bidi w:val="0"/>
              <w:spacing w:line="400" w:lineRule="exact"/>
              <w:jc w:val="left"/>
              <w:rPr>
                <w:rFonts w:hint="default"/>
                <w:kern w:val="2"/>
                <w:sz w:val="28"/>
                <w:szCs w:val="28"/>
                <w:vertAlign w:val="baseline"/>
                <w:lang w:val="en-US" w:eastAsia="zh-CN" w:bidi="ar-SA"/>
              </w:rPr>
            </w:pPr>
            <w:r>
              <w:rPr>
                <w:rFonts w:hint="eastAsia" w:ascii="楷体" w:hAnsi="楷体" w:eastAsia="楷体" w:cs="楷体"/>
                <w:b w:val="0"/>
                <w:bCs w:val="0"/>
                <w:color w:val="auto"/>
                <w:kern w:val="2"/>
                <w:sz w:val="28"/>
                <w:szCs w:val="28"/>
                <w:lang w:val="en-US" w:eastAsia="zh-CN" w:bidi="ar-SA"/>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4599" w:type="dxa"/>
            <w:tcBorders>
              <w:tl2br w:val="nil"/>
              <w:tr2bl w:val="nil"/>
            </w:tcBorders>
            <w:noWrap w:val="0"/>
            <w:vAlign w:val="top"/>
          </w:tcPr>
          <w:p>
            <w:pPr>
              <w:pStyle w:val="16"/>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法定代表人</w:t>
            </w:r>
          </w:p>
          <w:p>
            <w:pPr>
              <w:pageBreakBefore w:val="0"/>
              <w:kinsoku/>
              <w:wordWrap/>
              <w:overflowPunct/>
              <w:topLinePunct w:val="0"/>
              <w:bidi w:val="0"/>
              <w:spacing w:line="400" w:lineRule="exact"/>
              <w:jc w:val="left"/>
              <w:rPr>
                <w:rFonts w:hint="default"/>
                <w:kern w:val="2"/>
                <w:sz w:val="28"/>
                <w:szCs w:val="28"/>
                <w:vertAlign w:val="baseline"/>
                <w:lang w:val="en-US" w:eastAsia="zh-CN" w:bidi="ar-SA"/>
              </w:rPr>
            </w:pPr>
            <w:r>
              <w:rPr>
                <w:rFonts w:hint="eastAsia" w:ascii="楷体" w:hAnsi="楷体" w:eastAsia="楷体" w:cs="楷体"/>
                <w:b w:val="0"/>
                <w:bCs w:val="0"/>
                <w:color w:val="auto"/>
                <w:kern w:val="2"/>
                <w:sz w:val="28"/>
                <w:szCs w:val="28"/>
                <w:lang w:val="en-US" w:eastAsia="zh-CN" w:bidi="ar-SA"/>
              </w:rPr>
              <w:t>或（授权代理人）：</w:t>
            </w:r>
          </w:p>
        </w:tc>
        <w:tc>
          <w:tcPr>
            <w:tcW w:w="4600" w:type="dxa"/>
            <w:tcBorders>
              <w:tl2br w:val="nil"/>
              <w:tr2bl w:val="nil"/>
            </w:tcBorders>
            <w:noWrap w:val="0"/>
            <w:vAlign w:val="top"/>
          </w:tcPr>
          <w:p>
            <w:pPr>
              <w:pStyle w:val="16"/>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法定代表人</w:t>
            </w:r>
          </w:p>
          <w:p>
            <w:pPr>
              <w:pageBreakBefore w:val="0"/>
              <w:kinsoku/>
              <w:wordWrap/>
              <w:overflowPunct/>
              <w:topLinePunct w:val="0"/>
              <w:bidi w:val="0"/>
              <w:spacing w:line="400" w:lineRule="exact"/>
              <w:jc w:val="left"/>
              <w:rPr>
                <w:rFonts w:hint="default"/>
                <w:b w:val="0"/>
                <w:bCs w:val="0"/>
                <w:kern w:val="2"/>
                <w:sz w:val="28"/>
                <w:szCs w:val="28"/>
                <w:vertAlign w:val="baseline"/>
                <w:lang w:val="en-US" w:eastAsia="zh-CN" w:bidi="ar-SA"/>
              </w:rPr>
            </w:pPr>
            <w:r>
              <w:rPr>
                <w:rFonts w:hint="eastAsia" w:ascii="楷体" w:hAnsi="楷体" w:eastAsia="楷体" w:cs="楷体"/>
                <w:b w:val="0"/>
                <w:bCs w:val="0"/>
                <w:color w:val="auto"/>
                <w:kern w:val="2"/>
                <w:sz w:val="28"/>
                <w:szCs w:val="28"/>
                <w:lang w:val="en-US" w:eastAsia="zh-CN" w:bidi="ar-SA"/>
              </w:rPr>
              <w:t>或（授权代理人）：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4599" w:type="dxa"/>
            <w:tcBorders>
              <w:tl2br w:val="nil"/>
              <w:tr2bl w:val="nil"/>
            </w:tcBorders>
            <w:noWrap w:val="0"/>
            <w:vAlign w:val="top"/>
          </w:tcPr>
          <w:p>
            <w:pPr>
              <w:pageBreakBefore w:val="0"/>
              <w:kinsoku/>
              <w:wordWrap/>
              <w:overflowPunct/>
              <w:topLinePunct w:val="0"/>
              <w:bidi w:val="0"/>
              <w:spacing w:line="400" w:lineRule="exact"/>
              <w:jc w:val="left"/>
              <w:rPr>
                <w:rFonts w:hint="default"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开户行：泸州银行营业部</w:t>
            </w:r>
          </w:p>
        </w:tc>
        <w:tc>
          <w:tcPr>
            <w:tcW w:w="4600" w:type="dxa"/>
            <w:tcBorders>
              <w:tl2br w:val="nil"/>
              <w:tr2bl w:val="nil"/>
            </w:tcBorders>
            <w:noWrap w:val="0"/>
            <w:vAlign w:val="top"/>
          </w:tcPr>
          <w:p>
            <w:pPr>
              <w:pageBreakBefore w:val="0"/>
              <w:kinsoku/>
              <w:wordWrap/>
              <w:overflowPunct/>
              <w:topLinePunct w:val="0"/>
              <w:bidi w:val="0"/>
              <w:spacing w:line="400" w:lineRule="exact"/>
              <w:jc w:val="left"/>
              <w:rPr>
                <w:rFonts w:hint="default"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开户行：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99" w:type="dxa"/>
            <w:tcBorders>
              <w:tl2br w:val="nil"/>
              <w:tr2bl w:val="nil"/>
            </w:tcBorders>
            <w:noWrap w:val="0"/>
            <w:vAlign w:val="top"/>
          </w:tcPr>
          <w:p>
            <w:pPr>
              <w:pageBreakBefore w:val="0"/>
              <w:kinsoku/>
              <w:wordWrap/>
              <w:overflowPunct/>
              <w:topLinePunct w:val="0"/>
              <w:bidi w:val="0"/>
              <w:spacing w:line="400" w:lineRule="exact"/>
              <w:jc w:val="left"/>
              <w:rPr>
                <w:rFonts w:hint="default"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账号：2010900000165766</w:t>
            </w:r>
          </w:p>
        </w:tc>
        <w:tc>
          <w:tcPr>
            <w:tcW w:w="4600" w:type="dxa"/>
            <w:tcBorders>
              <w:tl2br w:val="nil"/>
              <w:tr2bl w:val="nil"/>
            </w:tcBorders>
            <w:noWrap w:val="0"/>
            <w:vAlign w:val="top"/>
          </w:tcPr>
          <w:p>
            <w:pPr>
              <w:pageBreakBefore w:val="0"/>
              <w:kinsoku/>
              <w:wordWrap/>
              <w:overflowPunct/>
              <w:topLinePunct w:val="0"/>
              <w:bidi w:val="0"/>
              <w:spacing w:line="400" w:lineRule="exact"/>
              <w:jc w:val="left"/>
              <w:rPr>
                <w:rFonts w:hint="default"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99" w:type="dxa"/>
            <w:tcBorders>
              <w:tl2br w:val="nil"/>
              <w:tr2bl w:val="nil"/>
            </w:tcBorders>
            <w:noWrap w:val="0"/>
            <w:vAlign w:val="top"/>
          </w:tcPr>
          <w:p>
            <w:pPr>
              <w:pageBreakBefore w:val="0"/>
              <w:kinsoku/>
              <w:wordWrap/>
              <w:overflowPunct/>
              <w:topLinePunct w:val="0"/>
              <w:bidi w:val="0"/>
              <w:spacing w:line="400" w:lineRule="exact"/>
              <w:jc w:val="left"/>
              <w:rPr>
                <w:rFonts w:hint="default"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联系人：</w:t>
            </w:r>
          </w:p>
        </w:tc>
        <w:tc>
          <w:tcPr>
            <w:tcW w:w="4600" w:type="dxa"/>
            <w:tcBorders>
              <w:tl2br w:val="nil"/>
              <w:tr2bl w:val="nil"/>
            </w:tcBorders>
            <w:noWrap w:val="0"/>
            <w:vAlign w:val="top"/>
          </w:tcPr>
          <w:p>
            <w:pPr>
              <w:pageBreakBefore w:val="0"/>
              <w:kinsoku/>
              <w:wordWrap/>
              <w:overflowPunct/>
              <w:topLinePunct w:val="0"/>
              <w:bidi w:val="0"/>
              <w:spacing w:line="400" w:lineRule="exact"/>
              <w:jc w:val="left"/>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99" w:type="dxa"/>
            <w:tcBorders>
              <w:tl2br w:val="nil"/>
              <w:tr2bl w:val="nil"/>
            </w:tcBorders>
            <w:noWrap w:val="0"/>
            <w:vAlign w:val="top"/>
          </w:tcPr>
          <w:p>
            <w:pPr>
              <w:pageBreakBefore w:val="0"/>
              <w:kinsoku/>
              <w:wordWrap/>
              <w:overflowPunct/>
              <w:topLinePunct w:val="0"/>
              <w:bidi w:val="0"/>
              <w:spacing w:line="400" w:lineRule="exact"/>
              <w:jc w:val="left"/>
              <w:rPr>
                <w:rFonts w:hint="default"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联系方式：</w:t>
            </w:r>
          </w:p>
        </w:tc>
        <w:tc>
          <w:tcPr>
            <w:tcW w:w="4600" w:type="dxa"/>
            <w:tcBorders>
              <w:tl2br w:val="nil"/>
              <w:tr2bl w:val="nil"/>
            </w:tcBorders>
            <w:noWrap w:val="0"/>
            <w:vAlign w:val="top"/>
          </w:tcPr>
          <w:p>
            <w:pPr>
              <w:pageBreakBefore w:val="0"/>
              <w:kinsoku/>
              <w:wordWrap/>
              <w:overflowPunct/>
              <w:topLinePunct w:val="0"/>
              <w:bidi w:val="0"/>
              <w:spacing w:line="400" w:lineRule="exact"/>
              <w:jc w:val="left"/>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599" w:type="dxa"/>
            <w:tcBorders>
              <w:tl2br w:val="nil"/>
              <w:tr2bl w:val="nil"/>
            </w:tcBorders>
            <w:noWrap w:val="0"/>
            <w:vAlign w:val="top"/>
          </w:tcPr>
          <w:p>
            <w:pPr>
              <w:pageBreakBefore w:val="0"/>
              <w:kinsoku/>
              <w:wordWrap/>
              <w:overflowPunct/>
              <w:topLinePunct w:val="0"/>
              <w:bidi w:val="0"/>
              <w:spacing w:line="400" w:lineRule="exact"/>
              <w:jc w:val="left"/>
              <w:rPr>
                <w:rFonts w:hint="default"/>
                <w:kern w:val="2"/>
                <w:sz w:val="28"/>
                <w:szCs w:val="28"/>
                <w:vertAlign w:val="baseline"/>
                <w:lang w:val="en-US" w:eastAsia="zh-CN" w:bidi="ar-SA"/>
              </w:rPr>
            </w:pPr>
            <w:r>
              <w:rPr>
                <w:rFonts w:hint="eastAsia" w:ascii="楷体" w:hAnsi="楷体" w:eastAsia="楷体" w:cs="楷体"/>
                <w:b w:val="0"/>
                <w:bCs w:val="0"/>
                <w:color w:val="auto"/>
                <w:kern w:val="2"/>
                <w:sz w:val="28"/>
                <w:szCs w:val="28"/>
                <w:lang w:val="en-US" w:eastAsia="zh-CN" w:bidi="ar-SA"/>
              </w:rPr>
              <w:t>联系地址：四川省泸州市江阳区胜景南路53号1栋2层</w:t>
            </w:r>
          </w:p>
        </w:tc>
        <w:tc>
          <w:tcPr>
            <w:tcW w:w="4600" w:type="dxa"/>
            <w:tcBorders>
              <w:tl2br w:val="nil"/>
              <w:tr2bl w:val="nil"/>
            </w:tcBorders>
            <w:noWrap w:val="0"/>
            <w:vAlign w:val="top"/>
          </w:tcPr>
          <w:p>
            <w:pPr>
              <w:pageBreakBefore w:val="0"/>
              <w:kinsoku/>
              <w:wordWrap/>
              <w:overflowPunct/>
              <w:topLinePunct w:val="0"/>
              <w:bidi w:val="0"/>
              <w:spacing w:line="400" w:lineRule="exact"/>
              <w:jc w:val="left"/>
              <w:rPr>
                <w:rFonts w:hint="default"/>
                <w:b/>
                <w:bCs/>
                <w:kern w:val="2"/>
                <w:sz w:val="28"/>
                <w:szCs w:val="28"/>
                <w:vertAlign w:val="baseline"/>
                <w:lang w:val="en-US" w:eastAsia="zh-CN" w:bidi="ar-SA"/>
              </w:rPr>
            </w:pPr>
            <w:r>
              <w:rPr>
                <w:rFonts w:hint="eastAsia" w:ascii="楷体" w:hAnsi="楷体" w:eastAsia="楷体" w:cs="楷体"/>
                <w:b w:val="0"/>
                <w:bCs w:val="0"/>
                <w:color w:val="auto"/>
                <w:kern w:val="2"/>
                <w:sz w:val="28"/>
                <w:szCs w:val="28"/>
                <w:lang w:val="en-US" w:eastAsia="zh-CN" w:bidi="ar-SA"/>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599" w:type="dxa"/>
            <w:tcBorders>
              <w:tl2br w:val="nil"/>
              <w:tr2bl w:val="nil"/>
            </w:tcBorders>
            <w:noWrap w:val="0"/>
            <w:vAlign w:val="top"/>
          </w:tcPr>
          <w:p>
            <w:pPr>
              <w:pageBreakBefore w:val="0"/>
              <w:kinsoku/>
              <w:wordWrap/>
              <w:overflowPunct/>
              <w:topLinePunct w:val="0"/>
              <w:bidi w:val="0"/>
              <w:spacing w:line="400" w:lineRule="exact"/>
              <w:jc w:val="left"/>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签订日期：   年   月   日</w:t>
            </w:r>
          </w:p>
        </w:tc>
        <w:tc>
          <w:tcPr>
            <w:tcW w:w="4600" w:type="dxa"/>
            <w:tcBorders>
              <w:tl2br w:val="nil"/>
              <w:tr2bl w:val="nil"/>
            </w:tcBorders>
            <w:noWrap w:val="0"/>
            <w:vAlign w:val="top"/>
          </w:tcPr>
          <w:p>
            <w:pPr>
              <w:pageBreakBefore w:val="0"/>
              <w:kinsoku/>
              <w:wordWrap/>
              <w:overflowPunct/>
              <w:topLinePunct w:val="0"/>
              <w:bidi w:val="0"/>
              <w:spacing w:line="400" w:lineRule="exact"/>
              <w:jc w:val="left"/>
              <w:rPr>
                <w:rFonts w:hint="eastAsia" w:ascii="楷体" w:hAnsi="楷体" w:eastAsia="楷体" w:cs="楷体"/>
                <w:b w:val="0"/>
                <w:bCs w:val="0"/>
                <w:color w:val="auto"/>
                <w:kern w:val="2"/>
                <w:sz w:val="28"/>
                <w:szCs w:val="28"/>
                <w:lang w:val="en-US" w:eastAsia="zh-CN" w:bidi="ar-SA"/>
              </w:rPr>
            </w:pPr>
            <w:r>
              <w:rPr>
                <w:rFonts w:hint="eastAsia" w:ascii="楷体" w:hAnsi="楷体" w:eastAsia="楷体" w:cs="楷体"/>
                <w:b w:val="0"/>
                <w:bCs w:val="0"/>
                <w:color w:val="auto"/>
                <w:kern w:val="2"/>
                <w:sz w:val="28"/>
                <w:szCs w:val="28"/>
                <w:lang w:val="en-US" w:eastAsia="zh-CN" w:bidi="ar-SA"/>
              </w:rPr>
              <w:t>签订日期：   年   月   日</w:t>
            </w:r>
          </w:p>
        </w:tc>
      </w:tr>
    </w:tbl>
    <w:p>
      <w:pPr>
        <w:keepNext w:val="0"/>
        <w:keepLines w:val="0"/>
        <w:pageBreakBefore w:val="0"/>
        <w:widowControl w:val="0"/>
        <w:kinsoku/>
        <w:wordWrap/>
        <w:overflowPunct/>
        <w:topLinePunct w:val="0"/>
        <w:bidi w:val="0"/>
        <w:snapToGrid/>
        <w:spacing w:line="400" w:lineRule="exact"/>
        <w:ind w:right="-153"/>
        <w:rPr>
          <w:rFonts w:hint="eastAsia" w:ascii="宋体" w:hAnsi="宋体" w:cs="宋体"/>
          <w:sz w:val="24"/>
          <w:lang w:val="en-US" w:eastAsia="zh-CN"/>
        </w:rPr>
      </w:pPr>
    </w:p>
    <w:p>
      <w:pPr>
        <w:pStyle w:val="3"/>
        <w:pageBreakBefore w:val="0"/>
        <w:kinsoku/>
        <w:wordWrap/>
        <w:overflowPunct/>
        <w:topLinePunct w:val="0"/>
        <w:bidi w:val="0"/>
        <w:spacing w:line="400" w:lineRule="exact"/>
        <w:rPr>
          <w:rFonts w:hint="default"/>
          <w:lang w:val="en-US" w:eastAsia="zh-CN"/>
        </w:rPr>
      </w:pPr>
    </w:p>
    <w:p>
      <w:pPr>
        <w:pStyle w:val="11"/>
        <w:pageBreakBefore w:val="0"/>
        <w:kinsoku/>
        <w:wordWrap/>
        <w:overflowPunct/>
        <w:topLinePunct w:val="0"/>
        <w:bidi w:val="0"/>
        <w:spacing w:line="400" w:lineRule="exact"/>
        <w:rPr>
          <w:rFonts w:hint="eastAsia"/>
          <w:lang w:val="en-US" w:eastAsia="zh-CN"/>
        </w:rPr>
      </w:pPr>
    </w:p>
    <w:p>
      <w:pPr>
        <w:pStyle w:val="17"/>
        <w:pageBreakBefore w:val="0"/>
        <w:kinsoku/>
        <w:wordWrap/>
        <w:overflowPunct/>
        <w:topLinePunct w:val="0"/>
        <w:bidi w:val="0"/>
        <w:spacing w:line="400" w:lineRule="exact"/>
        <w:ind w:left="0" w:leftChars="0" w:firstLine="0" w:firstLineChars="0"/>
        <w:rPr>
          <w:rFonts w:hint="eastAsia" w:ascii="仿宋_GB2312" w:hAnsi="仿宋_GB2312" w:eastAsia="仿宋_GB2312" w:cs="仿宋_GB2312"/>
          <w:color w:val="auto"/>
          <w:sz w:val="28"/>
          <w:szCs w:val="28"/>
          <w:lang w:val="en-US" w:eastAsia="zh-CN"/>
        </w:rPr>
      </w:pPr>
    </w:p>
    <w:p/>
    <w:p>
      <w:pPr>
        <w:rPr>
          <w:rFonts w:eastAsia="黑体"/>
          <w:color w:val="auto"/>
          <w:highlight w:val="none"/>
        </w:rPr>
      </w:pPr>
    </w:p>
    <w:p/>
    <w:sectPr>
      <w:headerReference r:id="rId22" w:type="first"/>
      <w:headerReference r:id="rId20" w:type="default"/>
      <w:footerReference r:id="rId23" w:type="default"/>
      <w:headerReference r:id="rId21"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jc w:val="center"/>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1"/>
      </w:rPr>
    </w:pPr>
    <w:r>
      <w:fldChar w:fldCharType="begin"/>
    </w:r>
    <w:r>
      <w:rPr>
        <w:rStyle w:val="21"/>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Style w:val="21"/>
                            </w:rPr>
                          </w:pPr>
                          <w:r>
                            <w:fldChar w:fldCharType="begin"/>
                          </w:r>
                          <w:r>
                            <w:rPr>
                              <w:rStyle w:val="21"/>
                            </w:rPr>
                            <w:instrText xml:space="preserve">PAGE  </w:instrText>
                          </w:r>
                          <w:r>
                            <w:fldChar w:fldCharType="separate"/>
                          </w:r>
                          <w:r>
                            <w:rPr>
                              <w:rStyle w:val="21"/>
                            </w:rPr>
                            <w:t>59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59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8000;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173FAFCD"/>
    <w:multiLevelType w:val="singleLevel"/>
    <w:tmpl w:val="173FAFCD"/>
    <w:lvl w:ilvl="0" w:tentative="0">
      <w:start w:val="9"/>
      <w:numFmt w:val="decimal"/>
      <w:lvlText w:val="%1."/>
      <w:lvlJc w:val="left"/>
      <w:pPr>
        <w:tabs>
          <w:tab w:val="left" w:pos="312"/>
        </w:tabs>
      </w:pPr>
    </w:lvl>
  </w:abstractNum>
  <w:abstractNum w:abstractNumId="2">
    <w:nsid w:val="453D7182"/>
    <w:multiLevelType w:val="multilevel"/>
    <w:tmpl w:val="453D7182"/>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abstractNum w:abstractNumId="4">
    <w:nsid w:val="78751CD8"/>
    <w:multiLevelType w:val="singleLevel"/>
    <w:tmpl w:val="78751CD8"/>
    <w:lvl w:ilvl="0" w:tentative="0">
      <w:start w:val="9"/>
      <w:numFmt w:val="decimal"/>
      <w:lvlText w:val="%1."/>
      <w:lvlJc w:val="left"/>
      <w:pPr>
        <w:tabs>
          <w:tab w:val="left" w:pos="312"/>
        </w:tabs>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7553"/>
    <w:rsid w:val="02415EFD"/>
    <w:rsid w:val="03872335"/>
    <w:rsid w:val="041B7553"/>
    <w:rsid w:val="04730898"/>
    <w:rsid w:val="0695059B"/>
    <w:rsid w:val="07B73987"/>
    <w:rsid w:val="091F0582"/>
    <w:rsid w:val="0FE635D7"/>
    <w:rsid w:val="128A78B7"/>
    <w:rsid w:val="12BA6738"/>
    <w:rsid w:val="13453400"/>
    <w:rsid w:val="177C0207"/>
    <w:rsid w:val="20CA48D9"/>
    <w:rsid w:val="225A6FB5"/>
    <w:rsid w:val="24A24B56"/>
    <w:rsid w:val="278E13C2"/>
    <w:rsid w:val="29F86FC6"/>
    <w:rsid w:val="2D80355B"/>
    <w:rsid w:val="2DC07DFB"/>
    <w:rsid w:val="301F1190"/>
    <w:rsid w:val="30F962A3"/>
    <w:rsid w:val="3ACF3768"/>
    <w:rsid w:val="3DA80CEA"/>
    <w:rsid w:val="3DF8538F"/>
    <w:rsid w:val="3E9F580B"/>
    <w:rsid w:val="431B31A5"/>
    <w:rsid w:val="44801B9E"/>
    <w:rsid w:val="48F367B7"/>
    <w:rsid w:val="49F02469"/>
    <w:rsid w:val="4C4D2043"/>
    <w:rsid w:val="4CE30FB8"/>
    <w:rsid w:val="59C13496"/>
    <w:rsid w:val="5C317F92"/>
    <w:rsid w:val="63C90AB0"/>
    <w:rsid w:val="64E97686"/>
    <w:rsid w:val="64F97F24"/>
    <w:rsid w:val="74904385"/>
    <w:rsid w:val="79AA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28"/>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annotation text"/>
    <w:basedOn w:val="1"/>
    <w:unhideWhenUsed/>
    <w:qFormat/>
    <w:uiPriority w:val="99"/>
    <w:pPr>
      <w:jc w:val="left"/>
    </w:pPr>
  </w:style>
  <w:style w:type="paragraph" w:styleId="9">
    <w:name w:val="Body Text Indent"/>
    <w:basedOn w:val="1"/>
    <w:qFormat/>
    <w:uiPriority w:val="0"/>
    <w:pPr>
      <w:ind w:firstLine="630"/>
    </w:pPr>
    <w:rPr>
      <w:sz w:val="32"/>
      <w:szCs w:val="20"/>
    </w:rPr>
  </w:style>
  <w:style w:type="paragraph" w:styleId="10">
    <w:name w:val="toc 3"/>
    <w:basedOn w:val="1"/>
    <w:next w:val="1"/>
    <w:qFormat/>
    <w:uiPriority w:val="0"/>
    <w:pPr>
      <w:ind w:left="840" w:leftChars="400"/>
    </w:p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2"/>
    <w:unhideWhenUsed/>
    <w:qFormat/>
    <w:uiPriority w:val="99"/>
    <w:pPr>
      <w:ind w:firstLine="420" w:firstLineChars="1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styleId="24">
    <w:name w:val="List Paragraph"/>
    <w:basedOn w:val="1"/>
    <w:qFormat/>
    <w:uiPriority w:val="1"/>
    <w:pPr>
      <w:ind w:firstLine="420" w:firstLineChars="200"/>
    </w:pPr>
    <w:rPr>
      <w:rFonts w:ascii="Calibri" w:hAnsi="Calibri"/>
      <w:szCs w:val="22"/>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8">
    <w:name w:val="标题 3 Char"/>
    <w:link w:val="7"/>
    <w:qFormat/>
    <w:uiPriority w:val="9"/>
    <w:rPr>
      <w:b/>
      <w:bCs/>
      <w:sz w:val="32"/>
      <w:szCs w:val="32"/>
    </w:rPr>
  </w:style>
  <w:style w:type="character" w:customStyle="1" w:styleId="29">
    <w:name w:val="font31"/>
    <w:basedOn w:val="20"/>
    <w:qFormat/>
    <w:uiPriority w:val="0"/>
    <w:rPr>
      <w:rFonts w:hint="eastAsia" w:ascii="宋体" w:hAnsi="宋体" w:eastAsia="宋体" w:cs="宋体"/>
      <w:color w:val="000000"/>
      <w:sz w:val="22"/>
      <w:szCs w:val="22"/>
      <w:u w:val="none"/>
    </w:rPr>
  </w:style>
  <w:style w:type="character" w:customStyle="1" w:styleId="30">
    <w:name w:val="font61"/>
    <w:basedOn w:val="20"/>
    <w:qFormat/>
    <w:uiPriority w:val="0"/>
    <w:rPr>
      <w:rFonts w:ascii="微软雅黑" w:hAnsi="微软雅黑" w:eastAsia="微软雅黑" w:cs="微软雅黑"/>
      <w:color w:val="000000"/>
      <w:sz w:val="22"/>
      <w:szCs w:val="22"/>
      <w:u w:val="none"/>
    </w:rPr>
  </w:style>
  <w:style w:type="character" w:customStyle="1" w:styleId="31">
    <w:name w:val="font21"/>
    <w:basedOn w:val="20"/>
    <w:qFormat/>
    <w:uiPriority w:val="0"/>
    <w:rPr>
      <w:rFonts w:hint="eastAsia" w:ascii="宋体" w:hAnsi="宋体" w:eastAsia="宋体" w:cs="宋体"/>
      <w:color w:val="000000"/>
      <w:sz w:val="22"/>
      <w:szCs w:val="22"/>
      <w:u w:val="none"/>
    </w:rPr>
  </w:style>
  <w:style w:type="character" w:customStyle="1" w:styleId="32">
    <w:name w:val="font71"/>
    <w:basedOn w:val="20"/>
    <w:qFormat/>
    <w:uiPriority w:val="0"/>
    <w:rPr>
      <w:rFonts w:hint="eastAsia" w:ascii="微软雅黑" w:hAnsi="微软雅黑" w:eastAsia="微软雅黑" w:cs="微软雅黑"/>
      <w:color w:val="000000"/>
      <w:sz w:val="22"/>
      <w:szCs w:val="22"/>
      <w:u w:val="none"/>
    </w:rPr>
  </w:style>
  <w:style w:type="paragraph" w:customStyle="1" w:styleId="33">
    <w:name w:val="列出段落1"/>
    <w:basedOn w:val="1"/>
    <w:qFormat/>
    <w:uiPriority w:val="34"/>
    <w:pPr>
      <w:ind w:firstLine="420" w:firstLineChars="200"/>
    </w:pPr>
    <w:rPr>
      <w:rFonts w:ascii="Calibri" w:hAnsi="Calibri" w:eastAsia="宋体" w:cs="Times New Roman"/>
      <w:szCs w:val="22"/>
    </w:rPr>
  </w:style>
  <w:style w:type="paragraph" w:customStyle="1" w:styleId="34">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8.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12097</Words>
  <Characters>13360</Characters>
  <Lines>0</Lines>
  <Paragraphs>0</Paragraphs>
  <TotalTime>0</TotalTime>
  <ScaleCrop>false</ScaleCrop>
  <LinksUpToDate>false</LinksUpToDate>
  <CharactersWithSpaces>13598</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2025-04-11T09:21:00Z</dcterms:created>
  <dc:creator>Lili</dc:creator>
  <cp:lastModifiedBy>王杰</cp:lastModifiedBy>
  <cp:lastPrinted>2025-04-14T02:52:00Z</cp:lastPrinted>
  <dcterms:modified xsi:type="dcterms:W3CDTF">2025-04-23T08:49:10Z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068DD07778F840DAA04D9948A9AE476D_13</vt:lpwstr>
  </property>
  <property fmtid="{D5CDD505-2E9C-101B-9397-08002B2CF9AE}" pid="4" name="KSOTemplateDocerSaveRecord">
    <vt:lpwstr>eyJoZGlkIjoiOGI5ZjRiOWE4ZmYzZDhmY2RhY2Y0ZDU5NGIyMTY1NmYiLCJ1c2VySWQiOiI2MTQ4Mzc4MDgifQ==</vt:lpwstr>
  </property>
</Properties>
</file>